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Центральном банке Российской Федерации (Банке России)"</w:t>
      </w:r>
    </w:p>
    <w:p>
      <w:r>
        <w:rPr>
          <w:b/>
        </w:rPr>
        <w:t>Статья 1</w:t>
      </w:r>
    </w:p>
    <w:p>
      <w:r>
        <w:t>Внести в Федеральный закон от 10 июля 2002 года № 86-ФЗ "О Центральном банке Российской Федерации (Банке России)" (Собрание законодательства Российской Федерации, 2002, № 28, ст. 2790; 2003, № 2, ст. 157; № 52, ст. 5032; 2004, № 31, ст. 3233; 2006, № 19, ст. 2061; 2007, № 1, ст. 9, 10; 2008, № 42, ст. 4699; № 52, ст. 6231; 2009, № 1, ст. 25; № 48, ст. 5731; 2011, № 27, ст. 3873; № 43, ст. 5973; 2012, № 53, ст. 7607; 2013, № 27, ст. 3438, 3476; № 30, ст. 4084; № 51, ст. 6699; № 52, ст. 6975; 2014, № 26, ст. 3395; № 30, ст. 4219; № 45, ст. 6154; № 52, ст. 7543; 2016, № 1, ст. 23; № 27, ст. 4295; 2017, № 14, ст. 1997; № 18, ст. 2661, 2669) изменение, дополнив его статьей 731 следующего содержания: "Статья 731. Банк России вправе осуществлять взаимодействие с кредитными организациями посредством информационных ресурсов, размещенных на официальном сайте Банка России в информационно-телекоммуникационной сети "Интернет" путем предоставления кредитным организациям доступа к личному кабинету, ведение которого осуществляется Банком России в установленном им порядке. Личный кабинет используется кредитными организациями в целях получения от Банка России документов, в том числе запросов, требований (предписаний) Банка России, и передачи в Банк России отчетности, документов (информации), сведений, а также осуществления кредитными организациями иных прав и обязанностей, установленных федеральными законами, нормативными актами Банка России. При передаче кредитными организациями в Банк России через личный кабинет отчетности, документов (информации), сведений в электронной форме, подписанных усиленной квалифицированной электронной подписью, такие документы признаются равнозначными документам на бумажном носителе. Порядок взаимодействия Банка России с кредитными организациями при использовании ими личного кабинета определяется нормативным актом Банка России.".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