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1252 и 1486 части четвертой Гражданского кодекса Российской Федерации и статьи 4 и 99 Арбитражного процессуального кодекса Российской Федерации</w:t>
      </w:r>
    </w:p>
    <w:p>
      <w:r>
        <w:rPr>
          <w:b/>
        </w:rPr>
        <w:t>Статья 1</w:t>
      </w:r>
    </w:p>
    <w:p>
      <w:r>
        <w:t>Внести в часть четвертую Гражданского кодекса Российской Федерации (Собрание законодательства Российской Федерации, 2006, № 52, ст. 5496; 2011, № 50, ст. 7364; 2014, № 11, ст. 1100; 2015, № 1, ст. 83) следующие изменения</w:t>
      </w:r>
    </w:p>
    <w:p>
      <w:r>
        <w:t>статью 1252 дополнить пунктом 51 следующего содержания: "51. В случае, если правообладатель и нарушитель исключительного права являются юридическими лицами и (или) индивидуальными предпринимателями и спор подведомствен арбитражному суду,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r>
        <w:t>пункт 1 статьи 1486 изложить в следующей редакции: "1. Правовая охрана товарного знака может быть прекращена досрочно в отношении всех товаров или части товаров, для индивидуализации которых товарный знак зарегистрирован, вследствие неиспользования товарного знака непрерывно в течение трех лет. 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федеральный орган исполнительной власти по интеллектуальной собственности с заявлением об отказе от права на товарный знак либо заключить с заинтересованным лицом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Государственном реестре товарных знаков или в соответствующем реестре, предусмотренном международным договором Российской Федерации. Предложение заинтересованного лица может быть направлено правообладателю не ранее чем по истечении трех лет с даты государственной регистрации товарного знака. 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знака вследствие его неиспользования. Новое предложение заинтересованного лица может быть направлено правообладателю товарного знака не ранее чем по истечении трехмесячного срока со дня направления предыдущего предложения заинтересованного лица. 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 Правовая охрана товарного знака прекращается с даты вступления в законную силу решения суда."</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2009, № 29, ст. 3642; 2010, № 18, ст. 2145; 2014, № 26, ст. 3392; 2016, № 1, ст. 29; № 10, ст. 1321; № 26, ст. 3889) следующие изменения</w:t>
      </w:r>
    </w:p>
    <w:p>
      <w:r>
        <w:t>часть 5 статьи 4 изложить в следующей редакции: "5.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законом или договором. 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порядок установлен федеральным законом. 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(статьи 52, 53 настоящего Кодекса)."</w:t>
      </w:r>
    </w:p>
    <w:p>
      <w:r>
        <w:t>в статье 99: а) часть 5 изложить в следующей редакции: "5. Об обеспечении имущественных интересов арбитражный суд выносит определение. В случае, если по требованию, в связи с которым подано заявление об обеспечении имущественных интересов, в силу закона обязательно соблюдение претензионного или иного досудебного порядка урегулирования спора, в определении устанавливаются срок для направления претензии (требования) другой стороне, не превышающий пятнадцати дней со дня вынесения определения, и срок для подачи искового заявления по такому требованию,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частью 5 статьи 4 настоящего Кодекса. Если указанный порядок не является обязательным,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 б) часть 7 изложить в следующей редакции: "7. Исковое заявление подается заявителем в арбитражный суд, который вынес определение об обеспечении имущественных интересов, или иной суд. Заявитель сообщает арбитражному суду, вынесшему определение об обеспечении имущественных интересов, о направлении претензии (требования), а также о подаче искового заявления в иной суд."; в) абзац первый части 8 изложить в следующей редакции: "8. Если заявителем не были представлены арбитражному суду, вынесшему определение об обеспечении имущественных интересов, доказательства направления претензии (требования) либо подачи искового заявления в срок, установленный в определении арбитражного суда об обеспечении имущественных интересов, обеспечение отменяется тем же арбитражным судом."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