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Водный кодекс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 "Глава 3. Основания и порядок приобретения права пользованияповерхностными водными объектами или их частями"; "Статья 11. Основания приобретения права пользованияповерхностными водными объектами или их частями "Статья 16. Случаи и порядок заключения договораводопользования по результатам аукциона или без проведения аукциона "Статья 37. Общие положения о водопользовании "Статья 47. Использование поверхностных водных объектовдля целей морского, внутреннего водного и воздушного транспорта "Статья 512. Использование водных объектов для целейэксплуатации мостов, подводных и подземных переходов, трубопроводов, подводных линий связи, других линейных объектов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