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 27, ст. 3979; № 29, ст. 4389, 4390; 2016, № 26, ст. 3877; № 28, ст. 4558; № 52, ст. 7491; 2017, № 18, ст. 2664; № 24, ст. 3478; № 25, ст. 3596; № 27, ст. 3953) следующие изменения: 1) статью 9 дополнить частью 21 следующего содержания: "21. Порядок идентификации информационных ресурсов в целях принятия мер по ограничению доступа к информационным ресурсам, требования к способам (методам) ограничения такого доступа, применяемым в соответствии с настоящим Федеральным законом, а также требования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2) статью 102 признать утратившей силу; 3) дополнить статьей 158 следующего содержания: "Статья 158. Меры, направленные на противодействиеиспользованию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 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
        <w:rPr>
          <w:b/>
        </w:rPr>
        <w:t xml:space="preserve">2. </w:t>
      </w:r>
      <w:r>
        <w:t>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течение трех рабочих дней со дня получения уведомления, указанного в пункте 4 части 2 настоящей статьи, провайдер хостинга или иное указанное в пункте 3 части 2 настоящей статьи лицо обязаны предоставить информацию о совершении действий, предусмотренных таким уведомлением</w:t>
      </w:r>
    </w:p>
    <w:p>
      <w:r>
        <w:rPr>
          <w:b/>
        </w:rPr>
        <w:t xml:space="preserve">4. </w:t>
      </w:r>
      <w:r>
        <w:t>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 xml:space="preserve">5. </w:t>
      </w:r>
      <w:r>
        <w:t>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6. </w:t>
      </w:r>
      <w:r>
        <w:t>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в течение тридцати рабочих дней со дня получения указанного требования</w:t>
      </w:r>
    </w:p>
    <w:p>
      <w:r>
        <w:rPr>
          <w:b/>
        </w:rPr>
        <w:t xml:space="preserve">7. </w:t>
      </w:r>
      <w:r>
        <w:t>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r>
        <w:rPr>
          <w:b/>
        </w:rPr>
        <w:t xml:space="preserve">8. </w:t>
      </w:r>
      <w:r>
        <w:t>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r>
        <w:rPr>
          <w:b/>
        </w:rPr>
        <w:t xml:space="preserve">9.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частях 5 и 6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режим обработки и использования такой информации, требования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10. </w:t>
      </w:r>
      <w:r>
        <w:t>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p>
      <w:r>
        <w:rPr>
          <w:b/>
        </w:rPr>
        <w:t xml:space="preserve">11. </w:t>
      </w:r>
      <w:r>
        <w:t>В течение суток с момента принятия указанного в части 10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
        <w:rPr>
          <w:b/>
        </w:rPr>
        <w:t xml:space="preserve">12. </w:t>
      </w:r>
      <w:r>
        <w:t>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части 11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
        <w:rPr>
          <w:b/>
        </w:rPr>
        <w:t xml:space="preserve">13. </w:t>
      </w:r>
      <w:r>
        <w:t>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14. </w:t>
      </w:r>
      <w:r>
        <w:t>После получения уведомления, указанного в части 13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частью 10 настоящей статьи</w:t>
      </w:r>
    </w:p>
    <w:p>
      <w:r>
        <w:rPr>
          <w:b/>
        </w:rPr>
        <w:t xml:space="preserve">15. </w:t>
      </w:r>
      <w:r>
        <w:t>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части 14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частью 10 настоящей статьи</w:t>
      </w:r>
    </w:p>
    <w:p>
      <w:r>
        <w:rPr>
          <w:b/>
        </w:rPr>
        <w:t xml:space="preserve">16. </w:t>
      </w:r>
      <w:r>
        <w:t>Порядок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порядок контроля за прекращением на территории Российской Федерации выдачи операторами поисковых систем, распространяющими в сети "Интернет" рекламу, которая направлена на привлечение внимания потребителей, находящихся на территории Российской Федерации,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17. </w:t>
      </w:r>
      <w:r>
        <w:t>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r>
        <w:rPr>
          <w:b/>
        </w:rPr>
        <w:t xml:space="preserve">2. </w:t>
      </w:r>
      <w:r>
        <w:t>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r>
        <w:rPr>
          <w:b/>
        </w:rPr>
        <w:t xml:space="preserve">2. </w:t>
      </w:r>
      <w:r>
        <w:t>в порядке,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p>
      <w:r>
        <w:rPr>
          <w:b/>
        </w:rPr>
        <w:t xml:space="preserve">2. </w:t>
      </w:r>
      <w:r>
        <w:t>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p>
      <w:r>
        <w:rPr>
          <w:b/>
        </w:rPr>
        <w:t xml:space="preserve">2. </w:t>
      </w:r>
      <w:r>
        <w:t>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r>
        <w:rPr>
          <w:b/>
        </w:rPr>
        <w:t xml:space="preserve">2. </w:t>
      </w:r>
      <w:r>
        <w:t>фиксирует дату и время направления указанного в пункте 4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 xml:space="preserve">7. </w:t>
      </w:r>
      <w:r>
        <w:t>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
        <w:rPr>
          <w:b/>
        </w:rPr>
        <w:t xml:space="preserve">7. </w:t>
      </w:r>
      <w:r>
        <w:t>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режим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Статья 2</w:t>
      </w:r>
    </w:p>
    <w:p>
      <w:r>
        <w:t>Признать утратившим силу пункт 2 статьи 1 Федерального закона от 5 мая 2014 года № 97-ФЗ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 (Собрание законодательства Российской Федерации, 2014, № 19, ст. 2302).</w:t>
      </w:r>
    </w:p>
    <w:p>
      <w:r>
        <w:rPr>
          <w:b/>
        </w:rPr>
        <w:t>Статья 3</w:t>
      </w:r>
    </w:p>
    <w:p>
      <w:r>
        <w:rPr>
          <w:b/>
        </w:rPr>
        <w:t xml:space="preserve">1. </w:t>
      </w:r>
      <w:r>
        <w:t>Настоящий Федеральный закон вступает в силу с 1 ноября 2017 года, за исключением пункта 2 статьи 1 и статьи 2 настоящего Федерального закона</w:t>
      </w:r>
    </w:p>
    <w:p>
      <w:r>
        <w:rPr>
          <w:b/>
        </w:rPr>
        <w:t xml:space="preserve">2. </w:t>
      </w:r>
      <w:r>
        <w:t>Пункт 2 статьи 1 и статья 2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