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 Федерального закона "Об особенностях управления и распоряжения имуществом железнодорожного транспорта"</w:t>
      </w:r>
    </w:p>
    <w:p>
      <w:r>
        <w:rPr>
          <w:b/>
        </w:rPr>
        <w:t>Статья 1</w:t>
      </w:r>
    </w:p>
    <w:p>
      <w:r>
        <w:t>Внести в пункт 2 статьи 5 Федерального закона от 27 февраля 2003 года № 29-ФЗ "Об особенностях управления и распоряжения имуществом железнодорожного транспорта" (Собрание законодательства Российской Федерации, 2003, № 9, ст. 805) изменение, исключив из него слово "(президента)".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