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 в связи с присоединением Российской Федерации к Конвенции для унификации некоторых правил международных воздушных перевозок от 28 мая 1999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127. Особенности предъявления требований к перевозчикупри международных воздушных перевозках "Статья 1271. Срок рассмотрения претензии к перевозчику "Статья 128. Начало течения срока исковой давности потребованиям, связанным с утратой, недостачей или повреждением (порчей) багажа, груза и почты, а также с просрочкой их доставки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