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 введении в действие Градостроительного кодекса Российской Федерации" в связи с особенностями осуществления градостроительной деятельности на территории свободного порта Владивосток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