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банке развития"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3. Цели деятельности и функции Внешэкономбанка "Статья 14. Полномочия правления Внешэкономбанка "Статья 16. Полномочия председателя Внешэкономбанка "Статья 161. Комитеты при наблюдательном совете Внешэкономбанка Статья 162. Коллегиальные рабочие органы, формируемые правлением Внешэкономбанка и председателем Внешэкономбанка Статья 163. Одобрение органами управления Внешэкономбанка отдельных видов сделок Внешэкономбанка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