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в части регулирования структурных облигаций</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1999, № 28, ст. 3472; 2001, № 33, ст. 3424; 2002, № 52, ст. 5141; 2004, № 27, ст. 2711; № 31, ст. 3225; 2005, № 11, ст. 900; № 25, ст. 2426; 2006, № 1, ст. 5; № 17, ст. 1780; № 31, ст. 3437; 2007, № 1, ст. 45; № 41, ст. 4845; № 50, ст. 6247; 2008, № 52, ст. 6221; 2009, № 1, ст. 28; № 18, ст. 2154; № 29, ст. 3642; № 48, ст. 5731; № 52, ст. 6428; 2010, № 17, ст. 1988; № 31, ст. 4193; № 41, ст. 5193; 2011, № 7, ст. 905; № 23, ст. 3262; № 27, ст. 3873; № 29, ст. 4291; № 48, ст. 6728; № 49, ст. 7040; № 50, ст. 7357; 2012, № 25, ст. 3269; № 31, ст. 4334; № 53, ст. 7607; 2013, № 30, ст. 4043, 4084; № 51, ст. 6699; № 52, ст. 6985; 2014, № 30, ст. 4219; 2015, № 1, ст. 13; № 14, ст. 2022; № 27, ст. 4001; № 29, ст. 4348, 4357; 2016, № 1, ст. 50, 81; № 27, ст. 4225; 2017, № 25, ст. 3592; № 48, ст. 7052; № 52, ст. 7920; 2018, № 1, ст. 70) следующие изменения: 1) часть третью статьи 2 изложить в следующей редакции: "Облигация - эмиссионная ценная бумага, закрепляющая право ее владельца на получение, если иное не предусмотрено настоящим Федеральным законом, в срок, предусмотренный в ней, от эмитента облигации ее номинальной стоимости или иного имущественного эквивалента. Облигация при соблюдении условий, установленных настоящим Федеральным законом, может не предусматривать право ее владельца на получение номинальной стоимости облигации в зависимости от наступления одного или нескольких указанных в ней обстоятельств. Облигация может также предусматривать право ее владельца на получение установленных в ней процентов либо иные имущественные права. Доходом по облигации являются процент и (или) дисконт."; 2) в статье 151: а) абзац первый пункта 2 изложить в следующей редакции: "2. Целями и предметом деятельности специализированного финансового общества могут являться либо приобретение имущественных прав требовать исполнения от должников уплаты денежных средств (далее - денежные требования) по кредитным договорам, договорам займа и (или) иным обязательствам, включая права, которые возникнут в будущем из существующих или из будущих обязательств, приобретение иного имущества, связанного с приобретаемыми денежными требованиями, в том числе по договорам лизинга и договорам аренды, и осуществление эмиссии облигаций, обеспеченных залогом денежных требований, либо приобретение ценных бумаг, иностранных финансовых инструментов, не квалифицированных в качестве ценных бумаг, денежных требований по кредитным договорам и договорам займа, заключение договоров, являющихся производными финансовыми инструментами, размещение во вклады, в том числе в драгоценных металлах, приобретение драгоценных металлов, предоставление займов, заключение договоров страхования рисков и осуществление эмиссии структурных облигаций, обеспеченных залогом денежных требований и (или) иного имущества."; б) абзац первый пункта 4 изложить в следующей редакции: "4. Специализированное общество может иметь гражданские права и нести гражданские обязанности, соответствующие целям и предмету его деятельности, в том числе распоряжаться приобретенными денежными требованиями и иным имуществом, привлекать кредиты (займы) с учетом ограничений, установленных настоящим Федеральным законом и уставом специализированного общества, страховать риск ответственности за неисполнение обязательств по облигациям специализированного общества и (или) риск убытков, связанных с неисполнением обязательств по приобретаемым специализированным обществом денежным требованиям, совершать иные сделки, направленные на повышение, поддержание кредитоспособности специализированного общества либо уменьшение рисков его финансовых потерь, нести обязанности перед третьими лицами, связанные с осуществлением эмиссии облигаций и исполнением обязательств по облигациям специализированного общества, а также с обеспечением деятельности специализированного общества."; 3) в пункте 1 статьи 154 второе предложение изложить в следующей редакции: "При этом обязательства по облигациям специализированного финансового общества могут быть переданы только другому специализированному финансовому обществу, обязательства по структурным облигациям специализированного финансового общества - только специализированному финансовому обществу, которое в соответствии с целями и предметом его деятельности вправе осуществлять эмиссию структурных облигаций.", дополнить предложением следующего содержания: "Обязательства по облигациям специализированного общества проектного финансирования могут быть переданы только другому специализированному обществу проектного финансирования."; 4) в абзаце первом пункта 101 статьи 17 слова "пунктами 1, 2, 7, 9 и 10 настоящей статьи" заменить словами "настоящей статьей для программы облигаций"; 5) дополнить статьей 271-1 следующего содержания: "Статья 271-1. Особенности эмиссии и обращения структурных облигаций 1. Эмитент вправе размещать облигации, предусматривающие право их владельцев на получение выплат по ним в зависимости от наступления или ненаступления одного или нескольких обстоятельств, предусмотренных пунктом 1 части двадцать девятой статьи 2 настоящего Федерального закона (далее - структурные облигации). Если от наступления или ненаступления указанных в настоящем пункте обстоятельств зависит только размер дохода (цена размещения и (или) размер процента) по облигациям, такие облигации не являются структурными. Размер выплат по структурной облигации может быть меньше ее номинальной стоимости.</w:t>
      </w:r>
    </w:p>
    <w:p>
      <w:r>
        <w:rPr>
          <w:b/>
        </w:rPr>
        <w:t xml:space="preserve">2. </w:t>
      </w:r>
      <w:r>
        <w:t>Эмитентами структурных облигаций могут быть только кредитные организации, брокеры, дилеры и специализированные финансовые общества, которые в соответствии с целями и предметом их деятельности вправе осуществлять эмиссию структурных облигаций. При этом брокеры, дилеры и специализированные финансовые общества вправе размещать только структурные облигации, обеспеченные залогом денежных требований и (или) иного имущества</w:t>
      </w:r>
    </w:p>
    <w:p>
      <w:r>
        <w:rPr>
          <w:b/>
        </w:rPr>
        <w:t xml:space="preserve">3. </w:t>
      </w:r>
      <w:r>
        <w:t>Решение о выпуске структурных облигаций помимо сведений, предусмотренных настоящим Федеральным законом для облигаций, должно содержать</w:t>
      </w:r>
    </w:p>
    <w:p>
      <w:r>
        <w:rPr>
          <w:b/>
        </w:rPr>
        <w:t xml:space="preserve">4. </w:t>
      </w:r>
      <w:r>
        <w:t>Эмитент структурных облигаций, решение о выпуске которых в соответствии с пунктом 3 настоящей статьи предусматривает определение уполномоченным органом эмитента числовых значений (параметров, условий) и (или) размера выплат либо порядка их определения, обязан до начала размещения таких облигаций представить в Банк России уведомление о содержании решения о выпуске структурных облигаций уполномоченного органа эмитента. Порядок представления указанного уведомления и требования к его форме определяются нормативными актами Банка России</w:t>
      </w:r>
    </w:p>
    <w:p>
      <w:r>
        <w:rPr>
          <w:b/>
        </w:rPr>
        <w:t xml:space="preserve">5. </w:t>
      </w:r>
      <w:r>
        <w:t>Структурная облигация не может предусматривать право на ее досрочное погашение по усмотрению ее эмитента, за исключением не зависящих от воли эмитента случаев, предусмотренных решением о выпуске структурных облигаций</w:t>
      </w:r>
    </w:p>
    <w:p>
      <w:r>
        <w:rPr>
          <w:b/>
        </w:rPr>
        <w:t xml:space="preserve">6. </w:t>
      </w:r>
      <w:r>
        <w:t>Структурные облигации, за исключением структурных облигаций, соответствующих критериям, установленным нормативным актом Банка России, являются ценными бумагами, предназначенными для квалифицированных инвесторов</w:t>
      </w:r>
    </w:p>
    <w:p>
      <w:r>
        <w:rPr>
          <w:b/>
        </w:rPr>
        <w:t xml:space="preserve">7. </w:t>
      </w:r>
      <w:r>
        <w:t>Государственная регистрация выпусков структурных облигаций, в том числе в рамках программы структурных облигаций, осуществляется Банком России</w:t>
      </w:r>
    </w:p>
    <w:p>
      <w:r>
        <w:rPr>
          <w:b/>
        </w:rPr>
        <w:t xml:space="preserve">8. </w:t>
      </w:r>
      <w:r>
        <w:t>Выплаты по структурной облигации могут осуществляться денежными средствами и (или) иным имуществом</w:t>
      </w:r>
    </w:p>
    <w:p>
      <w:r>
        <w:rPr>
          <w:b/>
        </w:rPr>
        <w:t xml:space="preserve">9. </w:t>
      </w:r>
      <w:r>
        <w:t>Физическое лицо, не являющееся квалифицированным инвестором или индивидуальным предпринимателем и приобретающее размещаемые структурные облигации, которые не являются ценными бумагами, предназначенными для квалифицированных инвесторов, в течение 10 рабочих дней с даты заключения договора, на основании которого размещаются указанные структурные облигации, вправе расторгнуть его в одностороннем порядке и потребовать возврата внесенных в оплату структурных облигаций денежных средств. Эмитент обязан вернуть внесенные в оплату структурных облигаций денежные средства физическому лицу, расторгнувшему соответствующий договор по основанию, указанному в настоящем пункте, в течение 7 рабочих дней с даты получения уведомления о его расторжении.";</w:t>
      </w:r>
    </w:p>
    <w:p>
      <w:r>
        <w:rPr>
          <w:b/>
        </w:rPr>
        <w:t xml:space="preserve">3. </w:t>
      </w:r>
      <w:r>
        <w:t>сведения об обстоятельствах, в зависимости от наступления или ненаступления которых осуществляются либо не осуществляются выплаты по структурной облигации с указанием числовых значений (параметров, условий) или порядка их определения либо с указанием на то, что такие числовые значения (параметры, условия) или порядок их определения будут установлены уполномоченным органом эмитента до начала размещения структурных облигаций</w:t>
      </w:r>
    </w:p>
    <w:p>
      <w:r>
        <w:rPr>
          <w:b/>
        </w:rPr>
        <w:t xml:space="preserve">3. </w:t>
      </w:r>
      <w:r>
        <w:t>размер выплат по структурной облигации или порядок его определения либо указание на то, что такой размер или порядок его определения будет установлен уполномоченным органом эмитента до начала размещения структурных облигаций. При этом может быть предусмотрено, что в зависимости от наступления или ненаступления обстоятельств, указанных в решении о выпуске структурных облигаций, выплаты по структурной облигации не осуществляются</w:t>
      </w:r>
    </w:p>
    <w:p>
      <w:r>
        <w:rPr>
          <w:b/>
        </w:rPr>
        <w:t xml:space="preserve">9. </w:t>
      </w:r>
      <w:r>
        <w:t>в статье 42:</w:t>
      </w:r>
    </w:p>
    <w:p>
      <w:r>
        <w:rPr>
          <w:b/>
        </w:rPr>
        <w:t xml:space="preserve">9. </w:t>
      </w:r>
      <w:r>
        <w:t>статью 44 дополнить пунктом 131 следующего содержания: "131) устанавливать критерии структурных облигаций, не являющихся ценными бумагами, предназначенными для квалифицированных инвесторов;"</w:t>
      </w:r>
    </w:p>
    <w:p>
      <w:r>
        <w:rPr>
          <w:b/>
        </w:rPr>
        <w:t xml:space="preserve">9. </w:t>
      </w:r>
      <w:r>
        <w:t>пункт 2 статьи 512 дополнить подпунктом 12 следующего содержания: "12) специализированные финансовые общества, которые в соответствии с целями и предметом их деятельности вправе осуществлять эмиссию структурных облигаций;"</w:t>
      </w:r>
    </w:p>
    <w:p>
      <w:r>
        <w:rPr>
          <w:b/>
        </w:rPr>
        <w:t xml:space="preserve">9. </w:t>
      </w:r>
      <w:r>
        <w:t>абзац второй пункта 6 статьи 514 после слова "дилера," дополнить словами "специализированного финансового общества, которое в соответствии с целями и предметом его деятельности вправе осуществлять эмиссию структурных облигаций,"</w:t>
      </w:r>
    </w:p>
    <w:p>
      <w:r>
        <w:rPr>
          <w:b/>
        </w:rPr>
        <w:t xml:space="preserve">9. </w:t>
      </w:r>
      <w:r>
        <w:t>дополнить пунктом 121 следующего содержания: "121) устанавливает порядок представления и требования к форме уведомления эмитента, предусмотренного пунктом 4 статьи 271-1 настоящего Федерального закона;"</w:t>
      </w:r>
    </w:p>
    <w:p>
      <w:r>
        <w:rPr>
          <w:b/>
        </w:rPr>
        <w:t xml:space="preserve">9. </w:t>
      </w:r>
      <w:r>
        <w:t>пункт 26 после слов "специализированного финансового общества" дополнить словами "(за исключением специализированного финансового общества, которое осуществляет эмиссию структурных облигаций)"</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пункта 4 статьи 1 настоящего Федерального закона</w:t>
      </w:r>
    </w:p>
    <w:p>
      <w:r>
        <w:rPr>
          <w:b/>
        </w:rPr>
        <w:t xml:space="preserve">2. </w:t>
      </w:r>
      <w:r>
        <w:t>Пункт 4 статьи 1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