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149 и 427 части второй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53, ст. 5015; 2002, № 22, ст. 2026; № 30, ст. 3027; 2003, № 1, ст. 2; № 28, ст. 2886; 2004, № 27, ст. 2711; № 34, ст. 3524; № 45, ст. 4377; 2005, № 30, ст. 3130; 2006, № 10, ст. 1065; № 31, ст. 3436; № 45, ст. 4628; № 50, ст. 5279; 2007, № 23, ст. 2691; № 31, ст. 3991; № 45, ст. 5417; 2008, № 30, ст. 3616; № 48, ст. 5504, 5519; № 52, ст. 6237; 2009, № 29, ст. 3598; № 48, ст. 5731, 5737; № 51, ст. 6155; № 52, ст. 6455; 2010, № 25, ст. 3070; № 31, ст. 4198; № 32, ст. 4298; № 45, ст. 5756; № 48, ст. 6247; № 49, ст. 6409; 2011, № 1, ст. 7; № 27, ст. 3881; № 29, ст. 4291; № 30, ст. 4583, 4593; № 45, ст. 6335; № 48, ст. 6731; № 49, ст. 7014; № 50, ст. 7359; 2012, № 31, ст. 4334; № 53, ст. 7596, 7619; 2013, № 23, ст. 2889; № 30, ст. 4031, 4048; № 48, ст. 6165; № 52, ст. 6985; 2014, № 23, ст. 2938; № 48, ст. 6647; 2015, № 1, ст. 17, 32; № 48, ст. 6684, 6692; 2016, № 23, ст. 3298; № 26, ст. 3856; № 27, ст. 4175, 4176; № 49, ст. 6844; № 52, ст. 7497; 2017, № 1, ст. 4, 16; № 11, ст. 1534; № 30, ст. 4441; № 45, ст. 6579; № 47, ст. 6842; № 49, ст. 7307, 7315, 7318, 7325; 2018, № 1, ст. 20, 50) следующие изменения</w:t>
      </w:r>
    </w:p>
    <w:p>
      <w:r>
        <w:t>пункт 2 статьи 149 дополнить подпунктом 211 следующего содержания: "211) прав на использование охраняемых результатов интеллектуальной деятельности, использованных и (или) возникших при создании кинопродукции, получившей удостоверение национального фильма, в том числе анимационных фильмов, в части предоставления лицензий на использование персонажей, музыкальных произведений, иных охраняемых объектов авторских прав и смежных прав, вошедших в состав кинопродукции, получившей удостоверение национального фильма;"</w:t>
      </w:r>
    </w:p>
    <w:p>
      <w:r>
        <w:t>в статье 427: а) пункт 1 дополнить подпунктом 15 следующего содержания: "15)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 В целях настоящей статьи под анимационной аудиовизуальной продукцией понимается фильм, состоящий из специально созданных и двигающихся на экране рисованных или объемно-кукольных образов и объектов, создаваемых в том числе с использованием компьютерной графики."; б) пункт 2 дополнить подпунктом 6 следующего содержания: "6) для плательщиков, указанных в подпункте 15 пункта 1 настоящей статьи, в течение 2018 - 2023 годов: на обязательное пенсионное страхование - 8,0 процента; на обязательное социальное страхование на случай временной нетрудоспособности и в связи с материнством - 2,0 процента; 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- 1,8 процента; на обязательное медицинское страхование - 4,0 процента."; в) в пункте 3 слова "пунктами 4 - 11" заменить словами "пунктами 4 - 12"; г) дополнить пунктом 12 следующего содержания: "12. Для плательщиков, указанных в подпункте 15 пункта 1 настоящей статьи, условиями применения пониженных тарифов страховых взносов, предусмотренных подпунктом 6 пункта 2 настоящей статьи, являются:</w:t>
      </w:r>
    </w:p>
    <w:p>
      <w:r>
        <w:t>для вновь созданных организаций: доля доходов от реализации экземпляров анимационной аудиовизуальной продукции, передачи исключительных прав на анимационную аудиовизуальную продукцию, предоставления прав использования анимационной аудиовизуальной продукции по лицензионным договорам, от оказания услуг (выполнения работ) по созданию анимационной аудиовизуальной продукции, а также от поступлений денежных средств в виде субсидий и (или) бюджетных ассигнований в рамках целевого финансирования, полученных из федерального бюджета, бюджетов субъектов Российской Федерации, местных бюджетов, предоставляемых на производство, продвижение, прокат и показ анимационной аудиовизуальной продукции, по итогам расчетного (отчетного) периода составляет не менее 90 процентов в сумме всех доходов организации за указанный период; получение документа, подтверждающего нахождение плательщика в реестре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Форма указанного документа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 среднесписочная численность работников за расчетный (отчетный) период составляет не менее семи человек</w:t>
      </w:r>
    </w:p>
    <w:p>
      <w:r>
        <w:t>для организаций, не являющихся вновь созданными: доля доходов от реализации экземпляров анимационной аудиовизуальной продукции, передачи исключительных прав на анимационную аудиовизуальную продукцию, предоставления прав использования анимационной аудиовизуальной продукции по лицензионным договорам, от оказания услуг (выполнения работ) по созданию анимационной аудиовизуальной продукции, а также от поступлений денежных средств в виде субсидий и (или) бюджетных ассигнований в рамках целевого финансирования, полученных из федерального бюджета, бюджетов субъектов Российской Федерации, местных бюджетов, предоставляемых на производство, продвижение, прокат и показ анимационной аудиовизуальной продукции, по итогам девяти месяцев года, предшествующего году перехода организации на уплату страховых взносов по пониженным тарифам, предусмотренным подпунктом 6 пункта 2 настоящей статьи, составляет не менее 90 процентов в сумме всех доходов организации за указанный период; получение документа, подтверждающего нахождение плательщика в реестре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Форма указанного документа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девять месяцев года, предшествующего году перехода организации на уплату страховых взносов по пониженным тарифам, предусмотренным подпунктом 6 пункта 2 настоящей статьи, составляет не менее семи человек."; д) дополнить пунктом 13 следующего содержания: "13.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ведется в целях реализации положений подпункта 6 пункта 2 настоящей статьи.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ведется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 в установленном им порядке. Информация о нахождении организации, осуществляющей производство анимационной аудиовизуальной продукции и (или) оказание услуг (выполнение работ) по созданию анимационной аудиовизуальной продукции, в указанном реестре представляется в налоговые органы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 в электронной форме в порядке, определенном соглашением об информационном обмене. Указанная информация передается в налоговые органы не позднее 1-го числа месяца, следующего за расчетным (отчетным) периодом. В целях пункта 12 настоящей статьи сумма доходов определяется в соответствии со статьей 248 настоящего Кодекса по данным налогового учета организации, осуществляющей производство анимационной аудиовизуальной продукции и (или) оказание услуг (выполнение работ) по созданию анимационной аудиовизуальной продукции. В случае, если по итогам расчетного (отчетного) периода указанная организация не выполняет хотя бы одно условие, установленное пунктом 12 настоящей статьи, а также в случае исключения ее из реестра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указанная организация лишается права применять тарифы страховых взносов, предусмотренные подпунктом 6 пункта 2 настоящей статьи, с начала расчетного периода, в котором допущено несоответствие установленным условиям или произошло исключение из данного реестра. Перечень документов, необходимых для включения организации в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порядок их представления, а также порядок и основания включения (исключения) указанных организаций в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 Контроль за соблюдением требований, установленных пунктом 12 настоящей статьи, осуществляется в том числе на основании отчетности, представляемой организациями, осуществляющими производство анимационной аудиовизуальной продукции и (или) оказание услуг (выполнение работ) по созданию анимационной аудиовизуальной продукции, в соответствии со статьей 431 настоящего Кодекса."</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пункта 1 статьи 1 настоящего Федерального закона</w:t>
      </w:r>
    </w:p>
    <w:p>
      <w:r>
        <w:rPr>
          <w:b/>
        </w:rPr>
        <w:t xml:space="preserve">2. </w:t>
      </w:r>
      <w:r>
        <w:t>Пункт 1 статьи 1 настоящего Федерального закона вступает в силу по истечении одного месяца со дня его официального опубликования, но не ранее 1-го числа очередного налогового периода по налогу на добавленную стоимость</w:t>
      </w:r>
    </w:p>
    <w:p>
      <w:r>
        <w:rPr>
          <w:b/>
        </w:rPr>
        <w:t xml:space="preserve">3. </w:t>
      </w:r>
      <w:r>
        <w:t>Действие положений статьи 427 Налогового кодекса Российской Федерации (в редакции настоящего Федерального закона) распространяется на правоотношения, возникшие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