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драгоценных металлах и драгоценных камнях"</w:t>
      </w:r>
    </w:p>
    <w:p>
      <w:r>
        <w:rPr>
          <w:b/>
        </w:rPr>
        <w:t>Статья 1</w:t>
      </w:r>
    </w:p>
    <w:p>
      <w:r>
        <w:t>Внести в подпункт 3 статьи 12 Федерального закона от 26 марта 1998 года № 41-ФЗ "О драгоценных металлах и драгоценных камнях" (Собрание законодательства Российской Федерации, 1998, № 13, ст. 1463; 2015, № 18, ст. 2614) изменение, дополнив его словами ", осуществление иных указанных в статье 1 настоящего Федерального закона операций с драгоценными металлами и драгоценными камнями, находящимися в собственности субъектов Российской Федерации, в соответствии с законодательством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