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 и Протокола к ней</w:t>
      </w:r>
    </w:p>
    <w:p>
      <w:r>
        <w:rPr>
          <w:b/>
        </w:rPr>
        <w:t>Статья None. Федеральный закон   от 23.05.2018 № 115-ФЗ</w:t>
      </w:r>
    </w:p>
    <w:p>
      <w:r>
        <w:t>О ратификации Конвенции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 и Протокола к ней РОССИЙСКАЯ ФЕДЕРАЦИЯ ФЕДЕРАЛЬНЫЙ ЗАКОН О ратификации Конвенции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 и Протокола к ней Принят Государственной Думой 10 мая 2018 года Одобрен Советом Федерации 16 мая 2018 года Ратифицировать Конвенцию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 и Протокол к ней, подписанные в городе Брюсселе 19 мая 2015 года, со следующим заявлением: "Российская Федерация исходит из того, что Королевство Бельгия является субъектом международного публичного права, который несет ответственность за добросовестное и полное выполнение обязательств Бельгийской Стороны, предусмотренных Конвенцией между Российской Федерацией и Королевством Бельгии об избежании двойного налогообложения и предотвращении уклонения от налогообложения в отношении налогов на доходы и капитал и Протоколом к ней". Президент Российской Федерации В.Путин Москва, Кремль 23 мая 2018 года № 115-ФЗ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