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33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подпункт "б" пункта 6 статьи 33 Федерального закона от 11 июля 2001 года № 95-ФЗ "О политических партиях" (Собрание законодательства Российской Федерации, 2001, № 29, ст. 2950; 2005, № 1, ст. 9; № 30, ст. 3104; 2008, № 30, ст. 3600; 2012, № 49, ст. 6756; 2014, № 42, ст. 5608; 2016, № 52, ст. 7501) изменение, заменив слово "двадцати" словами "ста пятидесяти двух".</w:t>
      </w:r>
    </w:p>
    <w:p>
      <w:r>
        <w:rPr>
          <w:b/>
        </w:rPr>
        <w:t>Статья 2</w:t>
      </w:r>
    </w:p>
    <w:p>
      <w:r>
        <w:t>Положение подпункта "б" пункта 6 статьи 33 Федерального закона от 11 июля 2001 года № 95-ФЗ "О политических партиях" (в редакции настоящего Федерального закона) применяется также к правоотношениям, возникшим в связи с проведением ближайших предыдущих выборов Президента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