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признании утратившими силу отдельных законодательных актов (положений законодательных актов) Российской Федерации</w:t>
      </w:r>
    </w:p>
    <w:p>
      <w:r>
        <w:rPr>
          <w:b/>
        </w:rPr>
        <w:t>Статья 1</w:t>
      </w:r>
    </w:p>
    <w:p>
      <w:r>
        <w:t>Признать утратившими силу</w:t>
      </w:r>
    </w:p>
    <w:p>
      <w:r>
        <w:t>Федеральный закон от 21 июля 1997 года № 115-ФЗ "О внесении изменений и дополнений в Федеральный закон "О дополнительных гарантиях социальной защиты судей и работников аппаратов судов Российской Федерации" (Собрание законодательства Российской Федерации, 1997, № 30, ст. 3587)</w:t>
      </w:r>
    </w:p>
    <w:p>
      <w:r>
        <w:t>абзацы пятый - восемнадцатый статьи 1 Федерального закона от 28 июня 2002 года № 76-ФЗ "О внесении изменений и дополнений в Федеральный закон "О дополнительных гарантиях социальной защиты судей и работников аппаратов судов Российской Федерации" (Собрание законодательства Российской Федерации, 2002, № 26, ст. 2522)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