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части первую и вторую Налогового кодекса Российской Федерации (в части налогообложения прибыли контролируемых иностранных компаний и доходов иностранных организаций)"</w:t>
      </w:r>
    </w:p>
    <w:p>
      <w:r>
        <w:rPr>
          <w:b/>
        </w:rPr>
        <w:t>Статья 1</w:t>
      </w:r>
    </w:p>
    <w:p>
      <w:r>
        <w:t>Внести в часть 4 статьи 3 Федерального закона от 24 ноября 2014 года № 376-ФЗ "О внесении изменений в части первую и вторую Налогового кодекса Российской Федерации (в части налогообложения прибыли контролируемых иностранных компаний и доходов иностранных организаций)" (Собрание законодательства Российской Федерации, 2014, № 48, ст. 6657; 2015, № 24, ст. 3377; 2016, № 7, ст. 920; 2018, № 1, ст. 20; № 9, ст. 1291) изменение, изложив ее в следующей редакции: "4. Уголовная ответственность не наступает за деяния, связанные с неуплатой или неполной уплатой сумм налога в результате невключения прибыли контролируемой иностранной компании в налоговую базу контролирующего лица</w:t>
      </w:r>
    </w:p>
    <w:p>
      <w:r>
        <w:t>в 2016 и 2017 годах - в случае, если контролирующим лицом является организация и ущерб, причиненный бюджетной системе Российской Федерации в результате совершения преступления, возмещен в полном объеме</w:t>
      </w:r>
    </w:p>
    <w:p>
      <w:r>
        <w:t>в 2016 - 2018 годах - в случае, если контролирующим лицом является физическое лицо и ущерб, причиненный бюджетной системе Российской Федерации в результате совершения преступления, возмещен в полном объеме."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2 части 4 статьи 3 Федерального закона от 24 ноября 2014 года № 376-ФЗ "О внесении изменений в части первую и вторую Налогового кодекса Российской Федерации (в части налогообложения прибыли контролируемых иностранных компаний и доходов иностранных организаций)" (в редакции настоящего Федерального закона) в части деяний, связанных с неуплатой или неполной уплатой сумм налога в результате невключения прибыли контролируемой иностранной компании в налоговую базу контролирующего лица, являющегося физическим лицом, в 2018 году, распространяется на правоотношения, возникшие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