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 в связи с Федеральным законом "О федеральном бюджете на 2019 год и на плановый период 2020 и 2021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2020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30, ст. 4595; № 46, ст. 6407; 2016, № 27, ст. 4160; 2017, № 27, ст. 3951)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и их семей", с 1 января 2019 года составляет 72,23 процента, с 1 октября 2019 года - 73,68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