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11 Федерального закона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2008, № 30, ст. 3606; 2011, № 7, ст. 905; № 48, ст. 6728; 2013, № 27, ст. 3447; 2015, № 27, ст. 3972, 4001; 2016, № 1, ст. 50; 2017, № 30, ст. 4456; 2018, № 1, ст. 11, 54; № 11, ст. 1579; № 22, ст. 3041; № 31, ст. 4835, 4836; Российская газета, 2018, 3 декабря) следующие изменения</w:t>
      </w:r>
    </w:p>
    <w:p>
      <w:r>
        <w:t>в части 1 статьи 9: а) пункт 6 дополнить словами "или при условии осуществления расчетов, указанных в пункте 21 настоящей части"; б) в пункте 23 после слов "и (или) прекращением" дополнить словами "договора репо,", слово "такому" исключить</w:t>
      </w:r>
    </w:p>
    <w:p>
      <w:r>
        <w:t>абзац первый части 2 статьи 11 дополнить словами ", а также к размещению кредитными организациями информации о курсах иностранных валют к валюте Российской Федерации и (или) кросс-курсах иностранных валют при совершении таких операций"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