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"Об особенностях регулирования отдельных правоотношений, возникающих в связи со строительством, с реконструкцией объектов транспортной инфраструктуры федерального и регионального значения, предназначенных для обеспечения транспортного сообщения между Таманским и Керченским полуостровами,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Федерации" в части продления срока действия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статью 15 Федерального закона от 13 июля 2015 года № 221-ФЗ "Об особенностях регулирования отдельных правоотношений, возникающих в связи со строительством, с реконструкцией объектов транспортной инфраструктуры федерального и регионального значения, предназначенных для обеспечения транспортного сообщения между Таманским и Керченским полуостровами,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Федерации" (Собрание законодательства Российской Федерации, 2015, № 29, ст. 4347) следующие изменения</w:t>
      </w:r>
    </w:p>
    <w:p>
      <w:r>
        <w:t>в части 2 цифры "2018" заменить цифрами "2019"</w:t>
      </w:r>
    </w:p>
    <w:p>
      <w:r>
        <w:t>в части 3 цифры "2018" заменить цифрами "2019"</w:t>
      </w:r>
    </w:p>
    <w:p>
      <w:r>
        <w:t>в части 4 цифры "2018" заменить цифрами "2019"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