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9 Семей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169 Семейного кодекса Российской Федерации (Собрание законодательства Российской Федерации, 1996, № 1, ст. 16) изменение, дополнив ее пунктом 8 следующего содержания: "8. Право нетрудоспособных совершеннолетних лиц, нуждающихся в помощи, а также право нуждающегося в помощи бывшего супруга, достигшего пенсионного возраста (статьи 85, 87, 89, 90, 93 - 97 настоящего Кодекса), на алименты распространяется в том числе на лиц, достигших возраста 55 лет (для женщин), 60 лет (для мужчин)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