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 и 11 Федерального закона "О драгоценных металлах и драгоценных камнях"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