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Статья 1 "Статья 6.35. Несоблюдение санитарно-эпидемиологических требований при обращении с отходами производства и потребления "Статья 8.2. Несоблюдение требований в области охраны окружающей среды при обращении с отходами производства и потребления "Статья 8.21. Несоблюдение требований в области охраны окружающей среды при обращении с веществами, разрушающими озоновый слой "Статья 8.22. Несоблюдение требований в области охраны окружающей среды при производстве, обращении или обезвреживании потенциально опасных химических веществ, в том числе радиоактивных, иных веществ и микроорганизмов "Статья 8.23. Несоблюдение требований в области охраны окружающей среды при обращении с отходами животноводства "Статья 8.51. Нарушение порядка представления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товаров, упаковки товаров, включенных в перечень товаров, упаковки товаров, подлежащих утилизации после утраты ими потребительских свойств, реализованных для внутреннего потребления на территории Российской Федерации за предыдущий календарный год "Статья 8.411. Неуплата в установленные сроки сбора по каждой группе товаров, группе упаковки товаров, подлежащего уплате производителями товаров, импортерами товаров, которые не обеспечивают самостоятельную утилизацию отходов от использования товаров Статья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