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155 и 162 Жилищного кодекса Российской Федерации и статью 1 Федерального закона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p>
    <w:p>
      <w:r>
        <w:rPr>
          <w:b/>
        </w:rPr>
        <w:t>Статья 1</w:t>
      </w:r>
    </w:p>
    <w:p>
      <w:r>
        <w:t>Внести в Жилищный кодекс Российской Федерации (Собрание законодательства Российской Федерации, 2005, № 1, ст. 14; 2007, № 1, ст. 14; 2008, № 30, ст. 3616; 2009, № 23, ст. 2776; 2010, № 31, ст. 4206; 2011, № 23, ст. 3263; 2012, № 53, ст. 7596; 2013, № 14, ст. 1646; № 52, ст. 6982; 2014, № 30, ст. 4218, 4256, 4264; 2015, № 1, ст. 11; № 27, ст. 3967; № 45, ст. 6208; 2016, № 27, ст. 4288; 2018, № 1, ст. 69; № 15, ст. 2030) следующие изменения: 1) в статье 155: а) часть 15 дополнить предложением следующего содержания: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 б) дополнить частями 18 и 19 следующего содержания: "18.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w:t>
      </w:r>
    </w:p>
    <w:p>
      <w:r>
        <w:rPr>
          <w:b/>
        </w:rPr>
        <w:t xml:space="preserve">19. </w:t>
      </w:r>
      <w:r>
        <w:t>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обязаны 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до предоставления им уведомления об уступке права (требования) по возврату такой задолженности.";</w:t>
      </w:r>
    </w:p>
    <w:p>
      <w:r>
        <w:rPr>
          <w:b/>
        </w:rPr>
        <w:t xml:space="preserve">19. </w:t>
      </w:r>
      <w:r>
        <w:t>часть 1 статьи 162 дополнить предложением следующего содержания: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r>
        <w:rPr>
          <w:b/>
        </w:rPr>
        <w:t>Статья 2</w:t>
      </w:r>
    </w:p>
    <w:p>
      <w:r>
        <w:t>В части 4 статьи 1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(Собрание законодательства Российской Федерации, 2016, № 27, ст. 4163) слова ", за исключением случаев передачи полномочий по взысканию данной задолженности кредитным организациям или лицам, осуществляющим деятельность по возврату просроченной задолженности физических лиц в качестве основного вида деятельности" исключить.</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