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 Федерального закона "О валютном регулировании и валютном контроле"</w:t>
      </w:r>
    </w:p>
    <w:p>
      <w:r>
        <w:rPr>
          <w:b/>
        </w:rPr>
        <w:t>Статья 1</w:t>
      </w:r>
    </w:p>
    <w:p>
      <w:r>
        <w:t>Внести в статью 19 Федерального закона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30; 2011, № 30, ст. 4584; № 50, ст. 7348, 7351; 2014, № 45, ст. 6154; 2015, № 27, ст. 3972; 2017, № 47, ст. 6851; 2018, № 15, ст. 2035; № 31, ст. 4835, 4837; № 49, ст. 7524) следующие изменения</w:t>
      </w:r>
    </w:p>
    <w:p>
      <w:r>
        <w:t>абзац первый части 42 после слов "осуществляющим функции по выработке государственной политики и нормативно-правовому регулированию в сфере валютной деятельности," дополнить словами "и Центральным банком Российской Федерации"</w:t>
      </w:r>
    </w:p>
    <w:p>
      <w:r>
        <w:t>дополнить частью 43 следующего содержания: "43. Резидент признается исполнившим обязанность, предусмотренную пунктом 2 части 1 настоящей статьи, в случае, если он обеспечил получение на свои банковские счета, открытые в уполномоченных банках, денежных средств от уполномоченного банка в качестве выплаты по банковской гарантии, выданной нерезиденту в пользу резидента в соответствии с Федеральным законом от 5 апреля 2013 года № 44-ФЗ "О контрактной системе в сфере закупок товаров, работ, услуг для обеспечения государственных и муниципальных нужд" или Федеральным законом от 18 июля 2011 года № 223-ФЗ "О закупках товаров, работ, услуг отдельными видами юридических лиц", в сумме и сроки, которые предусмотрены внешнеторговым договором (контрактом)."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