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Федеральный закон "Об общих принципах организации местного самоуправления в Российской Федерации" в связи с принятием Федерального закона "О внесении изменений в Бюджетный кодекс Российской Федерации в целях совершенствования межбюджетных отношений"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2007, № 43, ст. 5084; 2008, № 30, ст. 3616; 2014, № 26, ст. 3371; 2015, № 27, ст. 3978) следующие изменения</w:t>
      </w:r>
    </w:p>
    <w:p>
      <w:r>
        <w:t>статью 181 дополнить частью 3 следующего содержания: "3.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бюджетам субъектов Российской Федерации в целях поощрения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образований."</w:t>
      </w:r>
    </w:p>
    <w:p>
      <w:r>
        <w:t>в статье 631: а) наименование после слова "Субсидии" дополнить словом ", дотации"; б) часть 2 после слова "предоставлены" дополнить словами "дотации и"</w:t>
      </w:r>
    </w:p>
    <w:p>
      <w:r>
        <w:t>статью 65 дополнить частью 5 следующего содержания: "5. Бюджетам муниципальных образований из бюджетов других муниципальных образований могут быть предоставлены субсидии в соответствии с требованиями Бюджетного кодекса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