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Закона Российской Федерации "О защите прав потребителей"</w:t>
      </w:r>
    </w:p>
    <w:p>
      <w:r>
        <w:rPr>
          <w:b/>
        </w:rPr>
        <w:t>Статья 1</w:t>
      </w:r>
    </w:p>
    <w:p>
      <w:r>
        <w:t>Внести в статью 4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1999, № 51, ст. 6287; 2004, № 52, ст. 5275; 2007, № 44, ст. 5282) изменение, дополнив ее пунктом 41 следующего содержания: "41.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машин, странами происхождения которых являются Российская Федерация или другие государства - члены Евразийского экономического союза. Перечень отдельных видов указанных технически сложных товаров, порядок составления и ведения перечня программ для электронных вычислительных машин, странами происхождения которых являются Российская Федерация или другие государства - члены Евразийского экономического союза и которые должны быть предварительно установлены, и порядок их предварительной установки, включая требования к функционированию, определяются Правительством Российской Федерации. (В редакции Федерального закона от 22.12.2020 № 460-ФЗ) Предварительно установленные программы для электронных вычислительных машин, используемые потребителем на отдельных видах технически сложных товаров для доступа к информации на сайтах в информационно-телекоммуникационной сети "Интернет", должны обеспечивать возможность использования без дополнительных настроек (по умолчанию) поисковой системы, страной происхождения которой является Российская Федерация или другие государства - члены Евразийского экономического союза, в порядке, установленном Правительством Российской Федерации. Требования к указанной поисковой системе и порядок ее определения устанавливаются Правительством Российской Федерации.". (Абзац введен - Федеральный закон от 22.12.2020 № 460-ФЗ)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2021 года, за исключением абзаца третьего статьи 1 настоящего Федерального закона</w:t>
      </w:r>
    </w:p>
    <w:p>
      <w:r>
        <w:rPr>
          <w:b/>
        </w:rPr>
        <w:t xml:space="preserve">2. </w:t>
      </w:r>
      <w:r>
        <w:t>Абзац третий статьи 1 настоящего Федерального закона вступает в силу с 1 июля 2021 года. (Статья в редакции Федерального закона от 22.12.2020 № 460-ФЗ)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