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применении контрольно-кассовой техники при осуществлении расчетов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