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обороне" и статью 38 Федерального закона "Об основах охраны здоровья граждан в Российской Федерации"</w:t>
      </w:r>
    </w:p>
    <w:p>
      <w:r>
        <w:rPr>
          <w:b/>
        </w:rPr>
        <w:t>Статья 1</w:t>
      </w:r>
    </w:p>
    <w:p>
      <w:pPr>
        <w:pStyle w:val="Heading2"/>
      </w:pPr>
      <w:r>
        <w:t>Федерального закона от 31 мая 1996 года № 61-ФЗ "Об обороне" (Собрание законодательства Российской Федерации, 1996, № 23, ст. 2750; 2003, № 46, ст. 4437; 2004, № 27, ст. 2711; 2005, № 15, ст. 1276; 2009, № 15, ст. 1779; № 45, ст. 5270; 2010, № 19, ст. 2283, 2291; № 52, ст. 6992; 2011, № 15, ст. 2019; 2012, № 53, ст. 7613; 2013, № 14, ст. 1663; 2015, № 7, ст. 1019; 2016, № 18, ст. 2499) дополнить статьей 171 следующего содержания:</w:t>
      </w:r>
    </w:p>
    <w:p>
      <w:r>
        <w:rPr>
          <w:b/>
        </w:rPr>
        <w:t>Статья 2</w:t>
      </w:r>
    </w:p>
    <w:p>
      <w:r>
        <w:t>Статью 38 Федерального закона от 21 ноября 2011 года № 323-ФЗ "Об основах охраны здоровья граждан в Российской Федерации" (Собрание законодательства Российской Федерации, 2011, № 48, ст. 6724; 2013, № 48, ст. 6165; 2015, № 1, ст. 85; № 27, ст. 3951; 2017, № 31, ст. 4765) дополнить частью 51 следующего содержания: "51. Особенности обращения, в том числе особенности государственной регистрации, медицинских изделий, которые предназначены для применения в условиях военных действий, чрезвычайных ситуаций, профилактики и лечения заболеваний и поражений, полученных в результате воздействия неблагоприятных химических, биологических, радиационных факторов, и разработаны по заданию федеральных органов исполнительной власти и федеральных государственных органов, в которых федеральным законом предусмотрена военная служба или приравненная к ней служба, устанавливаются Правительством Российской Федерации.".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