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охоте и о сохранении охотничьих ресурсов и о внесении изменений в отдельные законодательные акты Российской Федерации" и Федеральный закон "О животном мире"</w:t>
      </w:r>
    </w:p>
    <w:p>
      <w:r>
        <w:rPr>
          <w:b/>
        </w:rPr>
        <w:t>Статья None. ФЕДЕРАЛЬНЫЙ ЗАКОН</w:t>
      </w:r>
    </w:p>
    <w:p>
      <w:r>
        <w:t>РОССИЙСКАЯ ФЕДЕРАЦИЯ Статья 1 "Статья 141. Особенности осуществления любительской и спортивной охоты в отношении охотничьих ресурсов, находящихся в полувольных условиях и искусственно созданной среде обитания "Статья 49. Содержание и разведение охотничьих ресурсов в полувольных условиях и искусственно созданной среде обитания "Статья 53. Охотничья инфраструктура Статья 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