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денежном довольствии военнослужащих и предоставлении им отдельных выплат"</w:t>
      </w:r>
    </w:p>
    <w:p>
      <w:r>
        <w:rPr>
          <w:b/>
        </w:rPr>
        <w:t>Статья 1</w:t>
      </w:r>
    </w:p>
    <w:p>
      <w:r>
        <w:t>Внести в абзац первый части 2 статьи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5488) изменение, дополнив его после слов "поступлением на военную службу по контракту," словами "направлением и назначением не на воинские должности без приостановления военной службы в соответствии с федеральными законами и нормативными правовыми актами Президента Российской Федерации,".</w:t>
      </w:r>
    </w:p>
    <w:p>
      <w:r>
        <w:rPr>
          <w:b/>
        </w:rPr>
        <w:t>Статья 2</w:t>
      </w:r>
    </w:p>
    <w:p>
      <w:r>
        <w:t>Действие положений части 2 статьи 3 Федерального закона от 7 ноября 2011 года № 306-ФЗ "О денежном довольствии военнослужащих и предоставлении им отдельных выплат" (в редакции настоящего Федерального закона) распространяется на правоотношения, возникшие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