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2878; 2014, № 22, ст. 2769; № 23, ст. 2933; 2019, № 30, ст. 4134; № 49, ст. 6962, 6970; № 52, ст. 7833) следующие изменения</w:t>
      </w:r>
    </w:p>
    <w:p>
      <w:r>
        <w:t>в пункте 151 части 3 статьи 28 слово "организация" заменить словом "проведение", слово "организации" заменить словом "проведения"</w:t>
      </w:r>
    </w:p>
    <w:p>
      <w:r>
        <w:t>часть 3 статьи 67 после слова "государственные" дополнить словами "образовательные организации субъектов Российской Федерации"</w:t>
      </w:r>
    </w:p>
    <w:p>
      <w:r>
        <w:t>в статье 88: а) дополнить частью 11 следующего содержания: "11.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лицами, указанными в части 1 настоящей статьи, могут приниматься на бесплатной основе иные лица по решению руководителя загранучреждения Министерства иностранных дел Российской Федерации, согласованному с центральным аппаратом Министерства иностранных дел Российской Федерации. Гражданам Российской Федерации предоставляется преимущественное право при приеме на обучение по указанным общеобразовательным программам."; б) часть 3 признать утратившей силу; в) часть 5 дополнить пунктом 11 следующего содержания: "11)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августа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