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33-1 Федерального закона "О гражданстве Российской Федерации"</w:t>
      </w:r>
    </w:p>
    <w:p>
      <w:r>
        <w:rPr>
          <w:b/>
        </w:rPr>
        <w:t>Статья 1</w:t>
      </w:r>
    </w:p>
    <w:p>
      <w:r>
        <w:t>Внести в статью 331 Федерального закона от 31 мая 2002 года № 62-ФЗ "О гражданстве Российской Федерации" (Собрание законодательства Российской Федерации, 2002, № 22, ст. 2031; 2014, № 16, ст. 1828; 2018, № 53, ст. 8454; 2019, № 30, ст. 4134) следующие изменения</w:t>
      </w:r>
    </w:p>
    <w:p>
      <w:r>
        <w:t>дополнить частью первой1 следующего содержания: "11. Граждане Республики Белоруссия и граждане Украины, свободно владеющие русским языком, при подаче лично заявления о признании их носителями русского языка и при наличии оснований, предусмотренных частью первой настоящей статьи, могут быть признаны комиссией носителями русского языка без прохождения собеседования, указанного в части первой настоящей статьи. Порядок подачи таких заявлений определяется федеральным органом исполнительной власти в сфере внутренних дел."</w:t>
      </w:r>
    </w:p>
    <w:p>
      <w:r>
        <w:t>дополнить частью второй1 следующего содержания: "21. Единые критерии признания иностранного гражданина или лица без гражданства носителем русского языка, порядок разработки, использования и хранения контрольных измерительных материалов, используемых при проведении комиссией указанного в части первой настоящей статьи собеседования с иностранным гражданином или лицом без гражданства (в том числе требования к режиму защиты таких материалов, порядку и условиям размещения содержащейся в них информации в информационно-телекоммуникационной сети "Интернет"), определяются федеральным органом исполнительной власти в сфере внутренних дел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образования."</w:t>
      </w:r>
    </w:p>
    <w:p>
      <w:r>
        <w:t>дополнить частью пятой1 следующего содержания: "51. Решение о признании либо непризнании гражданина Республики Белоруссия или гражданина Украины носителем русского языка принимается комиссией по результатам рассмотрения их заявлений, поданных в соответствии с частью третьей или четвертой настоящей статьи."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