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перечислении части доходов, полученных Центральным банком Российской Федерации от продажи обыкновенных акций публичного акционерного общества "Сбербанк России"</w:t>
      </w:r>
    </w:p>
    <w:p>
      <w:r>
        <w:rPr>
          <w:b/>
        </w:rPr>
        <w:t>Статья 1</w:t>
      </w:r>
    </w:p>
    <w:p>
      <w:r>
        <w:t>Внести в статью 1 Федерального закона от 18 марта 2020 года № 49-ФЗ "О перечислении части доходов, полученных Центральным банком Российской Федерации от продажи обыкновенных акций публичного акционерного общества "Сбербанк России" (Собрание законодательства Российской Федерации, 2020, № 12, ст. 1641) изменения, дополнив ее частями 3 и 4 следующего содержания: "3. В случае передачи Банком России в казну Российской Федерации указанных в части 1 настоящей статьи прав требований Банка России по договорам субординированного кредита, предоставленного Банком России в соответствии со статьей 5 Федерального закона от 13 октября 2008 года № 173-ФЗ "О дополнительных мерах по поддержке финансовой системы Российской Федерации", Правительство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деятельности, вправе в 2020 году заключать соглашения с публичным акционерным обществом "Сбербанк России" об изменении условий указанных договоров в целях создания правовых оснований для включения такого субординированного кредита в состав источников основного капитала публичного акционерного общества "Сбербанк России" в полном объеме согласно требованиям Банка России.</w:t>
      </w:r>
    </w:p>
    <w:p>
      <w:r>
        <w:rPr>
          <w:b/>
        </w:rPr>
        <w:t xml:space="preserve">4. </w:t>
      </w:r>
      <w:r>
        <w:t>В случае передачи Банком России в казну Российской Федерации указанных в части 1 настоящей статьи прав требований Банка России к государственной корпорации развития "ВЭБ.РФ" по договору (договорам) о размещении денежных средств на депозит (депозиты), заключенному (заключенным) до дня вступления в силу настоящего Федерального закона, Правительство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деятельности, вправе в 2020 году принимать решения о внесении прав требований по указанному договору (договорам) в качестве имущественного взноса Российской Федерации в уставный капитал государственной корпорации развития "ВЭБ.РФ"."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