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Внести в подпункт "а" пункта 1 статьи 21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2004, № 45, ст. 4377; 2007, № 30, ст. 3754; 2008, № 18, ст. 1942; № 30, ст. 3616; 2010, № 31, ст. 4196; 2011, № 27, ст. 3880; № 49, ст. 7061; 2013, № 30, ст. 4084; 2014, № 30, ст. 4217; 2017, № 45, ст. 6586) изменение, дополнив его после слов "расчеты с его кредиторами завершены" словами ", произведены все выплаты, предусмотренные трудовым законодательством Российской Федерации для работников, увольняемых в связи с ликвидацией юридического лица,".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