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1</w:t>
      </w:r>
    </w:p>
    <w:p>
      <w:r>
        <w:t>Внести в статью 3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2013, № 52, ст. 6961; 2015, № 27, ст. 3947, 4001; № 29, ст. 4375; 2018, № 1, ст. 89) следующие изменения</w:t>
      </w:r>
    </w:p>
    <w:p>
      <w:r>
        <w:t>дополнить частью 52 следующего содержания: "52. При осуществлении закупки товара, в том числе поставляемого заказчику при выполнении закупаемых работ, оказании закупаемых услуг, в договор при его заключении включается информация о стране происхождения товара."</w:t>
      </w:r>
    </w:p>
    <w:p>
      <w:r>
        <w:t>пункт 1 части 8 после слова "приоритет" дополнить словами ", включая минимальную долю закупок,"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по истечении тридцати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Закупки, извещения об осуществлении которых были размещены в единой информационной системе в сфере закупок товаров, работ, услуг для обеспечения государственных и муниципальных нужд либо приглашения принять участие в которых были направлены до дня вступления в силу пункта 1 статьи 1 настоящего Федерального закона, завершаются по правилам, которые действовали на дату размещения такого извещения либо на дату направления такого приглашения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