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333-31 и 333-32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2005, № 1, ст. 29; 2006, № 1, ст. 12; № 31, ст. 3436; 2009, № 52, ст. 6450; 2012, № 49, ст. 6750; 2014, № 30, ст. 4222; 2015, № 18, ст. 2615) следующие изменения</w:t>
      </w:r>
    </w:p>
    <w:p>
      <w:r>
        <w:t>в статье 33331: а) наименование изложить в следующей редакции: "Статья 33331. Размеры государственной пошлины за совершение действий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использованием и обращением драгоценных камней"; б) в пункте 1: абзац первый изложить в следующей редакции: "1. За совершение действий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использованием и обращением драгоценных камней, государственная пошлина уплачивается в размерах, установленных Правительством Российской Федерации в следующих пределах (в зависимости от видов осуществляемых действий):"; подпункт 3 изложить в следующей редакции: "3) за выполняемую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использованием и обращением драгоценных камней, для музеев экспертизу драгоценных металлов и драгоценных камней, а также вставок из различных материалов в изделиях - до 100 рублей за одну единицу;"</w:t>
      </w:r>
    </w:p>
    <w:p>
      <w:r>
        <w:t>наименование статьи 33332 изложить в следующей редакции: "Статья 33332. Особенности уплаты государственной пошлины за совершение действий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использованием и обращением драгоценных камней"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