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3031; 2007, № 31, ст. 4008; 2008, № 18, ст. 1939; 2014, № 26, ст. 3385; № 30, ст. 4237) следующие изменения</w:t>
      </w:r>
    </w:p>
    <w:p>
      <w:r>
        <w:t>в статье 9: а) в части шестой слова "на сайтах федеральных органов исполнительной власти, осуществляющих функции в сфере регистрации общественных и религиозных объединений, иных организаций" заменить словами "на сайте федерального органа государственной регистрации"; б) дополнить частью седьмой следующего содержания: "Порядок ведения перечня общественных и религиозных объединений, иных организаций, в отношении которых вступило в законную силу решение суда о ликвидации или запрете деятельности по основаниям, предусмотренным настоящим Федеральным законом, устанавливается федеральным органом государственной регистрации."</w:t>
      </w:r>
    </w:p>
    <w:p>
      <w:r>
        <w:t>в статье 10: а) в части шестой слова "исполнительной власти, осуществляющего функции в сфере регистрации общественных и религиозных объединений" заменить словами "государственной регистрации"; б) дополнить частями седьмой и восьмой следующего содержания: "Копия решения о приостановлении деятельности общественного или религиозного объединения, копия вступившего в законную силу решения суда об удовлетворении жалобы общественного или религиозного объединения на решение о приостановлении его деятельности и копия вступившего в законную силу решения суда о ликвидации или запрете деятельности общественного или религиозного объединения по основаниям, предусмотренным настоящим Федеральным законом, направляются соответствующими должностным лицом или органом в федеральный орган государственной регистрации в трехдневный срок со дня принятия либо вступления в законную силу соответствующего решения. Порядок ведения перечня общественных и религиозных объединений, деятельность которых приостановлена в связи с осуществлением ими экстремистской деятельности, устанавливается федеральным органом государственной регистрации."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