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изменения в статью 17-1 Федерального закона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  <w:br/>
        <w:t>микрофинансовой деятельности и микрофинансовых организациях»"</w:t>
      </w:r>
    </w:p>
    <w:p>
      <w:r>
        <w:rPr>
          <w:b/>
        </w:rPr>
        <w:t>Статья 1</w:t>
      </w:r>
    </w:p>
    <w:p>
      <w:r>
        <w:t>Внести в статью 17! Федерального закона от 3 июля 2016 года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(Собрание законодательства Российской Федерации, 2016, № 27, ст. 4163; 2023, № 32, ст. 6199; 2025, № 23, ст. 2996) изменение, дополнив ее частью 51 следующего содержания: | ДОЛИ, 2 100088 748: «5'. Кредитная и микрофинансовая организации — обязаны представлять в уполномоченный орган отчет о деятельности по возврату просроченной задолженности в электронной форме (при наличии технической возможности) с использованием единой системы межведомственного электронного взаимодействия либо в письменной форме на бумажном носителе. Порядок, форма, сроки и периодичность представления такого отчета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деятельности по возврату просроченной задолженности физических лиц, по согласованию с Банком России.».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ской Федерации В.Путин № 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