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346-17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346" части второй Налогового кодекса Российской Федерации (Собрание законодательства Российской Федерации, 2000, № 32, ст. 3340; 2002, № 30, ст. 3021; 2005, № 30, ст. 3112; 2006, № 31, ст. 3436; 2007, № 23, ст. 2691; 2008, № 30, ст. 3611; 2010, № 15, ст. 1737; 2011, № 11, ст. 1492; 2012, № 26, ст. 3447; 2014, № 16, ст. 1838; № 48, ст. 6660; 2015, № 1, ст. 18; 2016, № 49, ст. 6844; 2019, № 39, ст. 5375; 2023, № 52, ст. 9523; 2024, № 33, ст. 4955; № 49, ст. 7409) изменение, дополнив ее пунктом г следующего содержания: „ве. ПИ 2 100088 75006 9 2 «1. В целях настоящей главы при передаче (отчуждении) имущества (за исключением денежных средств) налогоплательциком - обществом с ограниченной ответственностью в счет выплаты действительной стоимости доли (части доли) вышедшему из общества с ограниченной ответственностью участнику доходом данного налогоплательщика признается действительная стоимость этой полученной доли (части доли), определяемая в порядке, в котором в соответствии с Федеральным законом от 8 февраля 1998 года № 14-ФЗ «Об обществах с ограниченной ответственностью» была определена действительная стоимость доли (части доли), в счет выплаты которой было передано (отчуждено) имущество, при выходе участника из общества с ограниченной ответственностью, на день, следующий за днем перехода права на него к такому участнику.».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упрощенной системы налогообложения. В.Путин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