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171-3 Уголовного кодекса Российской Федерации"</w:t>
      </w:r>
    </w:p>
    <w:p>
      <w:r>
        <w:rPr>
          <w:b/>
        </w:rPr>
        <w:t>Статья 1</w:t>
      </w:r>
    </w:p>
    <w:p>
      <w:r>
        <w:t>Внести в абзац первый части первой статьи 171° Уголовного кодекса Российской Федерации (Собрание законодательства Российской Федерации, 1996, № 25, ст. 2954; 2017, № З1, ст. 4752; 2023, № 32, ст. 6122) изменение, изложив его в следующей редакции: "|. Производство, поставка, закупка (в том числе при ввозе в Российскую Федерацию и вывозе из Российской Федерации), хранение табачной продукции, никотинсодержащей продукции и сырья для их производства, розничная продажа табачной — продукции AB. MAAN 2 100088 69353 3 2 и никотинсодержащей продукции без соответствующей лицензии, совершенные в крупном размере, - 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2027 года. o В.Путин № 188-ФЗ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