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Федеральный закон "Об обороне"</w:t>
      </w:r>
    </w:p>
    <w:p>
      <w:r>
        <w:rPr>
          <w:b/>
        </w:rPr>
        <w:t>Статья 1</w:t>
      </w:r>
    </w:p>
    <w:p>
      <w:r>
        <w:t>Внести в Федеральный закон от 31 мая 1996 года № 61-ФЗ "Об обороне" (Собрание законодательства Российской Федерации, 1996, № 23, ст. 2750) изменения, дополнив его статьями 10° и 10° следующего содержания: "Статья 10°. Обеспечение безопасности военных объектов, расположенных в закрытых военных городках Вооруженных Сил Российской Федерации 1.В целях обеспечения безопасности военных объектов, расположенных в закрытых военных городках Вооруженных Сил Российской Федерации, может устанавливаться особый режим AS 1 45 8 2 100088 693: 2 обеспечения их функционирования (далее — особый режим), включающий в себя: 1) установление пропускного и внутриобъектового режимов, в том числе установление контролируемых зон в пределах закрытого военного городка Вооруженных Сил Российской Федерации (далее — закрытый военный городок); 2) ограничения на въезд физических лиц на территорию закрытого военного городка и проживание (нахождение) физических лиц в закрытом военном городке, ограничения имущественных прав на недвижимое имущество в закрытом военном городке, вытекающие из ограничений, связанных с обеспечением особого режима; 3) ограничения передвижения транспортных средств физических или юридических лиц, физических лиц по территории закрытого военного городка, в охранной зоне военного объекта и (или) специальной зоне, установленной в связи с размещением военного объекта (далее соответственно — охранная зона, специальная зона); 4) определение перечня вещей (грузов), запрещенных к проносу (провозу) на территорию закрытого военного городка, в охранную зону и (или) специальную зону; 5) проверку в закрытом военном городке, охранной зоне и (или) специальной зоне военнослужащими Вооруженных Сил Российской Федерации, осуществляющими охрану и оборону военных объектов, у физических лиц документов, удостоверяющих их личность, пропусков, а в случае отсутствия таких документов доставление указанных лиц в служебное помещение органа военной полиции (воинской части), в компетентные органы для установления личности или удаление их за пределы территории закрытого военного городка, охранной зоны и (или) специальной зоны; 6) осуществление на территории закрытого военного городка, в охранной зоне и (или) специальной зоне хозяйственной и иной деятельности, проведение массовых — общественно-политических, культурных и других мероприятий на основании разрешения уполномоченных должностных лиц Вооруженных Сил Российской Федерации, ав запретной зоне, установленной в связи с размещением военного объекта (далее — запретная зона), с уведомлением уполномоченных должностных лиц Вооруженных Сил Российской Федерации; 7) приостановление производства работ, осуществления хозяйственной и иной деятельности на территории закрытого военного городка, а также в запретной зоне до установления причин и условий, способствующих реализации угроз безопасности военных объектов, 4 препятствующих охране и обороне военных объектов или обеспечению их функционирования; 8) ограничения на полеты летательных аппаратов над территорией закрытого военного городка, охранной зоной и (или) специальной зоной в соответствии с законодательством Российской Федерации; 9) ограничения на выезд с территории закрытого военного городка проживающих на территории закрытого военного — городка военнослужащих, вытекающие из необходимости поддержания боевой ГОТОВНОСТИ военных объектов и необходимости прибытия военнослужащих к месту военной службы в порядке, установленном общевоинскими уставами.</w:t>
      </w:r>
    </w:p>
    <w:p>
      <w:r>
        <w:rPr>
          <w:b/>
        </w:rPr>
        <w:t xml:space="preserve">2. </w:t>
      </w:r>
      <w:r>
        <w:t>Правительство Российской Федерации определяет перечень закрытых военных городков, для которых устанавливается особый режим, а также порядок обеспечения особого режима, включая основания, порядок, сроки и иные условия применения мер и ограничений, установленных пунктом 1 настоящей статьи</w:t>
      </w:r>
    </w:p>
    <w:p>
      <w:r>
        <w:rPr>
          <w:b/>
        </w:rPr>
        <w:t xml:space="preserve">3. </w:t>
      </w:r>
      <w:r>
        <w:t>Перечень должностных лиц, уполномоченных применять меры и ограничения, установленные пунктом | настоящей статьи, определяется министром обороны Российской Федерации</w:t>
      </w:r>
    </w:p>
    <w:p>
      <w:r>
        <w:rPr>
          <w:b/>
        </w:rPr>
        <w:t>Статья 10. “. Пресечение функционирования беспилотных</w:t>
      </w:r>
    </w:p>
    <w:p>
      <w:r>
        <w:t>воздушных, подводных и надводных судов и аппаратов, беспилотных транспортных средств и иных автоматизированных беспилотных комплексов в целях обеспечения безопасности объектов Вооруженных Сил Российской Федерации 1.В целях обеспечения безопасности объектов Вооруженных Сил Российской Федерации, защиты жизни и здоровья военнослужащих, лиц гражданского персонала Вооруженных Сил Российской Федерации и (или) лиц, находящихся на этих объектах, а также в целях защиты сведений об этих объектах военнослужащие Вооруженных Сил Российской Федерации пресекают функционирование беспилотных воздушных, подводных и надводных судов и аппаратов, беспилотных транспортных средств и иных автоматизированных беспилотных комплексов (далее — беспилотные аппараты), в том числе посредством подавления или преобразования сигналов дистанционного управления беспилотными аппаратами, воздействия на пульты управления беспилотных аппаратов, повреждения или уничтожения беспилотных аппаратов.</w:t>
      </w:r>
    </w:p>
    <w:p>
      <w:r>
        <w:rPr>
          <w:b/>
        </w:rPr>
        <w:t xml:space="preserve">2. </w:t>
      </w:r>
      <w:r>
        <w:t>Порядок принятия решения о пресечении функционирования беспилотных аппаратов в целях, указанных в пункте | настоящей статьи, перечень должностных лиц Вооруженных Сил Российской Федерации, уполномоченных на принятие такого решения, определяются общевоинскими уставами."</w:t>
      </w:r>
    </w:p>
    <w:p>
      <w:r>
        <w:rPr>
          <w:b/>
        </w:rPr>
        <w:t>Статья 2</w:t>
      </w:r>
    </w:p>
    <w:p>
      <w:r>
        <w:t>1.В связи с необходимостью пресечения угроз воздушного нападения на территорию Российской Федерации в период проведения специальной военной операции в соответствии с Федеральным законом от 31 мая 1996 года № 61-ФЗ "Об обороне" настоящей статьей устанавливаются особенности применения отдельных положений федеральных законов и иных нормативных правовых актов Российской Федерации.</w:t>
      </w:r>
    </w:p>
    <w:p>
      <w:r>
        <w:rPr>
          <w:b/>
        </w:rPr>
        <w:t xml:space="preserve">2. </w:t>
      </w:r>
      <w:r>
        <w:t>При проведении работ по строительству, реконструкции, сносу, капитальному ремонту объектов капитального — строительства, необходимых для оказания содействия Вооруженным Силам Российской Федерации в решении задач по пресечению угроз воздушного нападения на территорию Российской Федерации, не осуществляются</w:t>
      </w:r>
    </w:p>
    <w:p>
      <w:r>
        <w:rPr>
          <w:b/>
        </w:rPr>
        <w:t xml:space="preserve">4. </w:t>
      </w:r>
      <w:r>
        <w:t>При реализации неотложных мероприятий, направленных на оказание содействия Вооруженным Силам Российской Федерации в решении задач по пресечению угроз воздушного нападения на территорию Российской Федерации (далее — неотложные мероприятия)</w:t>
      </w:r>
    </w:p>
    <w:p>
      <w:r>
        <w:rPr>
          <w:b/>
        </w:rPr>
        <w:t xml:space="preserve">6. </w:t>
      </w:r>
      <w:r>
        <w:t>Допускается финансирование неотложных мероприятий путем предоставления субсидий и грантов из бюджетов бюджетной системы Российской Федерации без соответствующего увеличения доли в уставном капитале получателя субсидии, гранта</w:t>
      </w:r>
    </w:p>
    <w:p>
      <w:r>
        <w:rPr>
          <w:b/>
        </w:rPr>
        <w:t xml:space="preserve">7. </w:t>
      </w:r>
      <w:r>
        <w:t>Расходы (упущенная выгода), понесенные в связи с реализацией неотложных мероприятий, признаются обоснованными при исчислении налогов, сборов и иных обязательных платежей, формировании видов бухгалтерской (финансовой) и иной отчетности, в том числе в рамках 12 разработки и утверждения инвестиционных программ субъектов, подлежащих антимонопольному регулированию</w:t>
      </w:r>
    </w:p>
    <w:p>
      <w:r>
        <w:rPr>
          <w:b/>
        </w:rPr>
        <w:t xml:space="preserve">8. </w:t>
      </w:r>
      <w:r>
        <w:t>Перечень работ и объектов, в отношении которых проводятся неотложные мероприятия, утверждается решением единого национального центра, созданного в соответствии с решением Президента Российской Федерации, или решением его федерального оперативного штаба либо штабов в субъектах Российской Федерации. Реализация решений единого национального центра, его федерального оперативного штаба, штабов в субъектах Российской Федерации относится к исключительной компетенции единоличного исполнительного органа (руководителя) организации, задействованной в противодействии угрозам нападения на территорию Российской Федерации с использованием беспилотных воздушных судов</w:t>
      </w:r>
    </w:p>
    <w:p>
      <w:r>
        <w:rPr>
          <w:b/>
        </w:rPr>
        <w:t xml:space="preserve">2. </w:t>
      </w:r>
      <w:r>
        <w:t>оформление документов, подтверждающих наличие прав на земельный участок, участок территории, на которых планируется проведение работ</w:t>
      </w:r>
    </w:p>
    <w:p>
      <w:r>
        <w:rPr>
          <w:b/>
        </w:rPr>
        <w:t xml:space="preserve">2. </w:t>
      </w:r>
      <w:r>
        <w:t>оформление и утверждение градостроительной документации, в том числе устанавливающей виды разрешенного использования земельных участков и объектов капитального строительства, а также документов территориального планирования</w:t>
      </w:r>
    </w:p>
    <w:p>
      <w:r>
        <w:rPr>
          <w:b/>
        </w:rPr>
        <w:t xml:space="preserve">2. </w:t>
      </w:r>
      <w:r>
        <w:t>проведение инженерных изысканий, подготовка проектной документации, рабочей документации, проведение экспертизы проектной документации и результатов инженерных изысканий</w:t>
      </w:r>
    </w:p>
    <w:p>
      <w:r>
        <w:rPr>
          <w:b/>
        </w:rPr>
        <w:t xml:space="preserve">2. </w:t>
      </w:r>
      <w:r>
        <w:t>проведение археологических разведок, археологических раскопок, археологических полевых работ</w:t>
      </w:r>
    </w:p>
    <w:p>
      <w:r>
        <w:rPr>
          <w:b/>
        </w:rPr>
        <w:t xml:space="preserve">2. </w:t>
      </w:r>
      <w:r>
        <w:t>оформление разрешений на строительство, на ввод в эксплуатацию, иных разрешений, ордеров, разрешений на вырубку зеленых насаждений, заключений, согласований, необходимых для проведения работ по строительству, реконструкции объектов капитального строительства и их эксплуатации</w:t>
      </w:r>
    </w:p>
    <w:p>
      <w:r>
        <w:rPr>
          <w:b/>
        </w:rPr>
        <w:t xml:space="preserve">2. </w:t>
      </w:r>
      <w:r>
        <w:t>заключение договоров на подключение (технологическое присоединение) к сетям инженерно-технического обеспечения, разработка и получение документации и разрешений, необходимых для заключения указанных договоров и выполнения мероприятий по подключению (технологическому присоединению)</w:t>
      </w:r>
    </w:p>
    <w:p>
      <w:r>
        <w:rPr>
          <w:b/>
        </w:rPr>
        <w:t xml:space="preserve">2. </w:t>
      </w:r>
      <w:r>
        <w:t>представление документов для осуществления государственного кадастрового учета и государственной регистрации прав на созданное, реконструированное, снесенное недвижимое имущество, за исключением заявления, содержащего сведения, необходимые для осуществления государственного кадастрового учета и государственной регистрации прав, по форме, утвержденной федеральным органом исполнительной власти, уполномоченным на осуществление функций по нормативно-правовому регулированию в сфере ведения Единого государственного реестра недвижимости, осуществления государственного кадастрового учета недвижимого имущества, государственной регистрации прав на недвижимое имущество и сделок с ним, предоставления сведений, содержащихся в Едином государственном реестре недвижимости</w:t>
      </w:r>
    </w:p>
    <w:p>
      <w:r>
        <w:rPr>
          <w:b/>
        </w:rPr>
        <w:t xml:space="preserve">2. </w:t>
      </w:r>
      <w:r>
        <w:t>размещение сведений, документов, материалов о развитии территорий, об их застройке, о существующих и планируемых к размещению объектах капитального строительства и иных сведений в сфере градостроительной деятельности в государственных информационных системах обеспечения градостроительной деятельности. 3.При проведении работ по созданию, демонтажу объектов, не являющихся объектами капитального строительства, в целях оказания содействия Вооруженным Силам Российской Федерации в решении задач по пресечению угроз воздушного нападения на территорию Российской Федерации не осуществляются:</w:t>
      </w:r>
    </w:p>
    <w:p>
      <w:r>
        <w:rPr>
          <w:b/>
        </w:rPr>
        <w:t xml:space="preserve">2. </w:t>
      </w:r>
      <w:r>
        <w:t>оформление документов, подтверждающих наличие прав на земельный участок, участок территории, на которых планируется проведение работ; 9 2) оформление разрешений, ордеров, заключений, согласований, необходимых для проведения работ по созданию, демонтажу объектов, не являющихся объектами капитального строительства, и их эксплуатации</w:t>
      </w:r>
    </w:p>
    <w:p>
      <w:r>
        <w:rPr>
          <w:b/>
        </w:rPr>
        <w:t xml:space="preserve">4. </w:t>
      </w:r>
      <w:r>
        <w:t>допускается обработка персональных данных без получения согласия субъекта персональных данных на их обработку</w:t>
      </w:r>
    </w:p>
    <w:p>
      <w:r>
        <w:rPr>
          <w:b/>
        </w:rPr>
        <w:t xml:space="preserve">4. </w:t>
      </w:r>
      <w:r>
        <w:t>при осуществлении закупок товаров, работ, услуг, а также при предоставлении в указанных целях государственного и муниципального имущества не требуется проведение конкурентных способов определения поставщиков (подрядчиков, исполнителей)</w:t>
      </w:r>
    </w:p>
    <w:p>
      <w:r>
        <w:rPr>
          <w:b/>
        </w:rPr>
        <w:t xml:space="preserve">4. </w:t>
      </w:r>
      <w:r>
        <w:t>не применяются ограничения, связанные с использованием территорий с особыми условиями использования, особо охраняемых природных территорий, территорий, на которых расположены лесные и иные насаждения, и осуществлением хозяйственной деятельности на таких территориях</w:t>
      </w:r>
    </w:p>
    <w:p>
      <w:r>
        <w:rPr>
          <w:b/>
        </w:rPr>
        <w:t xml:space="preserve">4. </w:t>
      </w:r>
      <w:r>
        <w:t>не применяются ограничения, установленные в отношении объектов культурного наследия (памятников истории и культуры) народов Российской Федерации при их сохранении, использовании и 10 государственной охране, связанные с землепользованием и градостроительной деятельностью</w:t>
      </w:r>
    </w:p>
    <w:p>
      <w:r>
        <w:rPr>
          <w:b/>
        </w:rPr>
        <w:t xml:space="preserve">4. </w:t>
      </w:r>
      <w:r>
        <w:t>при оказании услуг, выполнении работ, производстве и (или) реализации товаров, необходимых для реализации неотложных мероприятий, не требуется получение юридическими лицами, индивидуальными предпринимателями и физическими лицами лицензий или иных специальных разрешений, а также не требуется членство в саморегулируемых организациях</w:t>
      </w:r>
    </w:p>
    <w:p>
      <w:r>
        <w:rPr>
          <w:b/>
        </w:rPr>
        <w:t xml:space="preserve">4. </w:t>
      </w:r>
      <w:r>
        <w:t>допускается ввоз на территорию Российской Федерации любых товаров без соблюдения требований законодательства Российской Федерации о техническом регулировании. При реализации неотложных мероприятий использование ввезенных на территорию Российской Федерации товаров допускается до завершения установленных процедур таможенного оформления</w:t>
      </w:r>
    </w:p>
    <w:p>
      <w:r>
        <w:rPr>
          <w:b/>
        </w:rPr>
        <w:t xml:space="preserve">4. </w:t>
      </w:r>
      <w:r>
        <w:t>принятие решения (одобрения, согласия) высшего органа управления, коллегиального исполнительного органа, общего собрания акционеров (участников) юридического лица, предусмотренного учредительными документами юридического лица, не требуется. 5.В отношении систем активной и пассивной защиты, иных объектов, создаваемых для реализации неотложных мероприятий, не проводятся контрольно-надзорные мероприятия, в том числе 11 государственный строительный надзор, строительный контроль, эксплуатационный контроль, пожарный надзор, санитарно- эпидемиологический контроль (надзор), налоговый контроль, контроль в сфере закупок товаров, работ, услуг для обеспечения государственных и муниципальных нужд, контроль за соблюдением законодательства при организации и проведении закупок отдельными видами юридических лиц, контроль за соблюдением антимонопольного законодательства, законодательства о государственном оборонном заказе, государственный финансовый контроль и муниципальный финансовый контроль, контроль за использованием средств государственными корпорациями, контроль за использованием земельных участков и иных объектов недвижимости, экологический контроль (надзор)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настоящего Федерального закона. 13 2. Статья 1 настоящего Федерального закона вступает в силу по истечении ста восьмидесяти дней после дня официального опубликования настоящего Федерального закона. В.Путин № 192-ФЗ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