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карантине растений»"</w:t>
      </w:r>
    </w:p>
    <w:p>
      <w:r>
        <w:rPr>
          <w:b/>
        </w:rPr>
        <w:t>Статья 1</w:t>
      </w:r>
    </w:p>
    <w:p>
      <w:r>
        <w:t>Внести в Федеральный закон от 21 июля 2014 года № 206-ФЗ «О карантине растений» (Собрание законодательства Российской Федерации, 2014, № 30, ст. 4207; 2015, № 29, ст. 4339; 2018, № 18, ст. 2571; 2020, №29, ст. 4504; 2021, № 24, ст. 4188; 2024, № 1, ст. 31, 33; № 29, ст. 4096; № 46, ст. 6904; 2025, № 31, ст. 4700) следующие изменения</w:t>
      </w:r>
    </w:p>
    <w:p>
      <w:r>
        <w:t>часть 1 статьи 5 дополнить пунктом 143 следующего содержания: «143) осуществление прослеживаемости партий подкарантинной продукции в соответствии с актами, составляющими право Евразийского =. ПИ 2 100088 69356 4 экономического союза, в порядке, установленном Правительством Российской Федерации;»</w:t>
      </w:r>
    </w:p>
    <w:p>
      <w:r>
        <w:t>пункт 3 части 3 статьи 5? изложить в следующей редакции: «3)0 подкарантинной продукции, ввозимой на территорию Российской Федерации, в соответствии с актами, составляющими право Евразийского экономического союза, в том числе предварительная информация, представляемая участниками внешнеэкономической деятельности в таможенные органы;»; З)в пункте 4 части 3 статьи 28 слова «и других предусмотренных частью 3 статьи 8 настоящего Федерального закона мероприятий» исключить</w:t>
      </w:r>
    </w:p>
    <w:p>
      <w:r>
        <w:t>часть 1 статьи 32 дополнить пунктом 9' следующего содержания: «9') представлять в федеральную государственную информационную систему в области карантина растений сведения и информацию, в том числе предусмотренные пунктом 3 части 3 статьи 5° настоящего Федерального закона, в соответствии с актами, составляющими право Евразийского экономического союза;»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2027 года. В.Путин № 214-ФЗ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