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166 и 168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№1, ст. 18; 2002, №22, ст. 2026; 2005, № 30, ст. 3130; 2006, № 31, ст. 3436; 2008, № 48, ст. 5519; 2010, № 48, ст. 6247; 2011, № 30, ст. 4593; 2013, № 52, ст. 6985; 2017, № 49, ст. 7307, 7321; 2018, № 32, ст. 5095; 2021, № 27, ст. 5133; 2022, №29, ст. 5290; 2023, №32, ст. 6121; 2024, № 45, ст. 6693) следующие изменения</w:t>
      </w:r>
    </w:p>
    <w:p>
      <w:r>
        <w:t>статью 166 дополнить пунктом 32 следующего содержания: AB. ia 10088 68720 2 «3°. В случае, если после заключения договора в законодательство Российской Федерации о налогах и сборах внесены изменения, в силу которых при исполнении этого договора у налогоплательщика возникает обязанность по уплате налога, и при этом покупатель не имеет права принять сумму налога к вычету и стороны договора не изменили цену договора в соответствии с гражданским законодательством Российской Федерации либо в договоре не предусмотрели условия об урегулировании взаимодействия сторон в связи с такими изменениями, сумма налога исчисляется налогоплателыциком расчетным методом исходя из стоимости товаров (работ, услуг), имущественных прав, указанной в договоре.»</w:t>
      </w:r>
    </w:p>
    <w:p>
      <w:r>
        <w:t>в статье 168: а) абзац первый пункта 1 изложить в следующей редакции: «1. Если иное не предусмотрено пунктом 3? статьи 166 настоящего Кодекса, при реализации товаров (работ, услуг), передаче имущественных прав налогоплательщик (налоговый агент, указанный в пунктах 4, 5 и 5! статьи 161 настоящего Кодекса) дополнительно к цене (тарифу) реализуемых товаров (работ, услуг), передаваемых имущественных прав обязан предъявить к оплате покупателю этих товаров (работ, услуг), имущественных прав соответствующую сумму налога.»</w:t>
      </w:r>
    </w:p>
    <w:p>
      <w:r>
        <w:t>пункт 3 дополнить абзацем пятым следующего содержания: 3 «В случае, указанном в пункте 3? статьи 166 настоящего Кодекса, счета-фактуры не выставляются.»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добавленную стоимость. КАНЦЕЛЯРИЯ |= Йрезидент Яской Федерации В.Путин № 293-ФЗ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