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 Федерального закона "О рекламе"</w:t>
      </w:r>
    </w:p>
    <w:p>
      <w:r>
        <w:rPr>
          <w:b/>
        </w:rPr>
        <w:t>Статья 1</w:t>
      </w:r>
    </w:p>
    <w:p>
      <w:r>
        <w:t>Внести в статью 19 Федерального закона от 13 марта 2006 года № 38-ФЗ "О рекламе" (Собрание законодательства Российской Федерации, 2006, № 12, ст. 1232; 2007, № 30, ст. 3807; 2009, № 39, ст. 4542; 2011, № 27, ст. 3880; 2012, № 31, ст. 4322; 2013, № 19, ст. 2325; 2014, № 30, ст. 4265; 2015, № 10, ст. 1420; 2018, № 28, ст. 4147) изменение, дополнив ее частью 32 следующего содержания: "32. Распространение звуковой рекламы с использованием звукотехнического оборудования, монтируемого и располагаемого на внешних стенах, крышах и иных конструктивных элементах зданий, строений, сооружений, не допускается.".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