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2011, № 27, ст. 3880; № 30, ст. 4590; № 50, ст. 7343; 2013, № 19, ст. 2331; № 30, ст. 4034; 2016, № 26, ст. 3875; 2018, № 11, ст. 1589; 2019, № 31, ст. 4455; 2020, № 8, ст. 920; № 52, ст. 8601) следующие изменения: 1) статью 8 дополнить частью 5 следующего содержания: "5. Передача права на добычу охотничьих ресурсов юридическими лицами и индивидуальными предпринимателями, заключившими охотхозяйственные соглашения, допускается в случаях и в порядке, которые предусмотрены настоящим Федеральным законом."; 2) в статье 27: а) в части 4: пункт 3 изложить в следующей редакции: "3) требования к размещению минимального количества отдельных видов охотничьих ресурсов в границах охотничьего угодья;"; в пункте 6 слова ", обеспечивать внутрихозяйственное охотустройство" исключить; пункт 7 изложить в следующей редакции: "7) обязательство органа исполнительной власти субъекта Российской Федерации предоставлять в течение срока действия охотхозяйственного соглашения юридическому лицу или индивидуальному предпринимателю, заключившим охотхозяйственное соглашение, в аренду без проведения торгов земельные участки и лесные участки в границах охотничьего угодья для осуществления видов деятельности в сфере охотничьего хозяйства;"; пункт 10 признать утратившим силу; б) дополнить частью 41 следующего содержания: "41. Внесение изменений в охотхозяйственное соглашение в течение срока его действия осуществляется по требованию юридического лица или индивидуального предпринимателя, заключивших охотхозяйственное соглашение, в следующих случаях: 1) предоставление в аренду таким юридическому лицу или индивидуальному предпринимателю расположенных в границах охотничьих угодий земельных участков и лесных участков либо прекращение права аренды таких земельных участков и лесных участков; 2) отказ таких юридического лица или индивидуального предпринимателя от части площади охотничьего угодья, указанного в охотхозяйственном соглашении."; в) дополнить частями 7 - 9 следующего содержания: "7. Юридическое лицо или индивидуальный предприниматель, заключившие охотхозяйственное соглашение, по истечении срока его действия имеет право на заключение охотхозяйственного соглашения на новый срок без проведения аукциона на право заключения охотхозяйственого соглашения.</w:t>
      </w:r>
    </w:p>
    <w:p>
      <w:r>
        <w:rPr>
          <w:b/>
        </w:rPr>
        <w:t xml:space="preserve">8. </w:t>
      </w:r>
      <w:r>
        <w:t>Орган исполнительной власти субъекта Российской Федерации отказывает юридическому лицу или индивидуальному предпринимателю, указанным в части 7 настоящей статьи, в заключении охотхозяйственного соглашения на новый срок в случае проведения в отношении таких юридического лица или индивидуального предпринимателя процедуры, применяемой в деле о несостоятельности (банкротстве), либо наличия сведений о таких юридическом лице или об индивидуальном предпринимателе в реестре недобросовестных лиц, заключивших охотхозяйственные соглашения, и участников аукциона на право заключения охотхозяйственного соглашения</w:t>
      </w:r>
    </w:p>
    <w:p>
      <w:r>
        <w:rPr>
          <w:b/>
        </w:rPr>
        <w:t xml:space="preserve">9. </w:t>
      </w:r>
      <w:r>
        <w:t>Порядок заключения с юридическим лицом или индивидуальным предпринимателем, указанными в части 7 настоящей статьи, охотхозяйственных соглашений на новый срок утверждается уполномоченным федеральным органом исполнительной власти.";</w:t>
      </w:r>
    </w:p>
    <w:p>
      <w:r>
        <w:rPr>
          <w:b/>
        </w:rPr>
        <w:t xml:space="preserve">2. </w:t>
      </w:r>
      <w:r>
        <w:t>Стороны соглашения о замене стороны охотхозяйственного соглашения в течение пяти рабочих дней со дня его подписания направляют запрос о получении согласия на такую замену в орган исполнительной власти субъекта Российской Федерации, заключивший соответствующее охотхозяйственное соглашение</w:t>
      </w:r>
    </w:p>
    <w:p>
      <w:r>
        <w:rPr>
          <w:b/>
        </w:rPr>
        <w:t xml:space="preserve">3. </w:t>
      </w:r>
      <w:r>
        <w:t>Орган исполнительной власти субъекта Российской Федерации в течение тридцати дней со дня получения запроса, предусмотренного частью 2 настоящей статьи, принимает одно из следующих решений</w:t>
      </w:r>
    </w:p>
    <w:p>
      <w:r>
        <w:rPr>
          <w:b/>
        </w:rPr>
        <w:t xml:space="preserve">4. </w:t>
      </w:r>
      <w:r>
        <w:t>Орган исполнительной власти субъекта Российской Федерации отказывает в даче согласия на замену стороны охотхозяйственного соглашения в следующих случаях</w:t>
      </w:r>
    </w:p>
    <w:p>
      <w:r>
        <w:rPr>
          <w:b/>
        </w:rPr>
        <w:t xml:space="preserve">5. </w:t>
      </w:r>
      <w:r>
        <w:t>Третье лицо принимает на себя все права и обязанности юридического лица или индивидуального предпринимателя, заключивших охотхозяйственное соглашение, в полном объеме со дня принятия органом исполнительной власти субъекта Российской Федерации решения о даче согласия на замену стороны охотхозяйственного соглашения</w:t>
      </w:r>
    </w:p>
    <w:p>
      <w:r>
        <w:rPr>
          <w:b/>
        </w:rPr>
        <w:t xml:space="preserve">6. </w:t>
      </w:r>
      <w:r>
        <w:t>Разрешения на добычу охотничьих ресурсов, выданные гражданам в соответствии с настоящим Федеральным законом юридическим лицом или индивидуальным предпринимателем, заключившими охотхозяйственное соглашение, по которому осуществлена замена стороны такого соглашения, действуют до окончания указанного в них срока действия.";</w:t>
      </w:r>
    </w:p>
    <w:p>
      <w:r>
        <w:rPr>
          <w:b/>
        </w:rPr>
        <w:t xml:space="preserve">2. </w:t>
      </w:r>
      <w:r>
        <w:t>В реестр включаются сведения о лицах, с которыми по их вине на основании решения суда прекращено охотхозяйственное соглашение, а также о лицах, уклонившихся от заключения охотхозяйственного соглашения</w:t>
      </w:r>
    </w:p>
    <w:p>
      <w:r>
        <w:rPr>
          <w:b/>
        </w:rPr>
        <w:t xml:space="preserve">3. </w:t>
      </w:r>
      <w:r>
        <w:t>В реестр включается следующая информация</w:t>
      </w:r>
    </w:p>
    <w:p>
      <w:r>
        <w:rPr>
          <w:b/>
        </w:rPr>
        <w:t xml:space="preserve">4. </w:t>
      </w:r>
      <w:r>
        <w:t>Информация, указанная в части 3 настоящей статьи, представляется в орган, уполномоченный на ведение реестра</w:t>
      </w:r>
    </w:p>
    <w:p>
      <w:r>
        <w:rPr>
          <w:b/>
        </w:rPr>
        <w:t xml:space="preserve">5. </w:t>
      </w:r>
      <w:r>
        <w:t>В течение трех рабочих дней со дня поступления информации, указанной в части 3 настоящей статьи, орган, уполномоченный на ведение реестра, включает такую информацию в реестр или направляет в письменной форме мотивированный отказ во включении такой информации в реестр органу исполнительной власти субъекта Российской Федерации, ее представившему</w:t>
      </w:r>
    </w:p>
    <w:p>
      <w:r>
        <w:rPr>
          <w:b/>
        </w:rPr>
        <w:t xml:space="preserve">6. </w:t>
      </w:r>
      <w:r>
        <w:t>Информация, содержащаяся в реестре, размещается на официальном сайте органа, уполномоченного на ведение реестра, в электронном виде и должна быть доступна для ознакомления без взимания платы</w:t>
      </w:r>
    </w:p>
    <w:p>
      <w:r>
        <w:rPr>
          <w:b/>
        </w:rPr>
        <w:t xml:space="preserve">7. </w:t>
      </w:r>
      <w:r>
        <w:t>Информация, указанная в части 3 настоящей статьи, исключается из реестра по истечении двух лет с даты ее включения в реестр или по решению суда</w:t>
      </w:r>
    </w:p>
    <w:p>
      <w:r>
        <w:rPr>
          <w:b/>
        </w:rPr>
        <w:t xml:space="preserve">8. </w:t>
      </w:r>
      <w:r>
        <w:t>Внесение сведений, указанных в части 3 настоящей статьи, в реестр, равно как и неисполнение действий, предусмотренных частью 7 настоящей статьи, могут быть обжалованы заинтересованными лицами в судебном порядке.";</w:t>
      </w:r>
    </w:p>
    <w:p>
      <w:r>
        <w:rPr>
          <w:b/>
        </w:rPr>
        <w:t xml:space="preserve">9. </w:t>
      </w:r>
      <w:r>
        <w:t>дополнить статьей 271 следующего содержания: "Статья 271. Замена стороны охотхозяйственного соглашения 1. Замена юридического лица или индивидуального предпринимателя, заключивших охотхозяйственное соглашение (далее - замена стороны охотхозяйственного соглашения), на другое юридическое лицо или другого индивидуального предпринимателя, зарегистрированных в Российской Федерации в соответствии с Федеральным законом "О государственной регистрации юридических лиц и индивидуальных предпринимателей" (далее в настоящей статье - третье лицо), допускается на основании заключаемого между ними соглашения (далее - соглашение о замене стороны охотхозяйственного соглашения) с согласия органа исполнительной власти субъекта Российской Федерации в порядке, предусмотренном настоящей статьей</w:t>
      </w:r>
    </w:p>
    <w:p>
      <w:r>
        <w:rPr>
          <w:b/>
        </w:rPr>
        <w:t xml:space="preserve">3. </w:t>
      </w:r>
      <w:r>
        <w:t>о даче согласия на замену стороны охотхозяйственного соглашения</w:t>
      </w:r>
    </w:p>
    <w:p>
      <w:r>
        <w:rPr>
          <w:b/>
        </w:rPr>
        <w:t xml:space="preserve">3. </w:t>
      </w:r>
      <w:r>
        <w:t>об отказе в даче согласия на замену стороны охотхозяйственного соглашения</w:t>
      </w:r>
    </w:p>
    <w:p>
      <w:r>
        <w:rPr>
          <w:b/>
        </w:rPr>
        <w:t xml:space="preserve">4. </w:t>
      </w:r>
      <w:r>
        <w:t>несоответствие третьего лица требованиям части 1 настоящей статьи</w:t>
      </w:r>
    </w:p>
    <w:p>
      <w:r>
        <w:rPr>
          <w:b/>
        </w:rPr>
        <w:t xml:space="preserve">4. </w:t>
      </w:r>
      <w:r>
        <w:t>проведение в отношении третьего лица процедуры, применяемой в деле о несостоятельности (банкротстве)</w:t>
      </w:r>
    </w:p>
    <w:p>
      <w:r>
        <w:rPr>
          <w:b/>
        </w:rPr>
        <w:t xml:space="preserve">4. </w:t>
      </w:r>
      <w:r>
        <w:t>наличие сведений о третьем лице в реестре недобросовестных лиц, заключивших охотхозяйственные соглашения, и участников аукциона на право заключения охотхозяйственного соглашения</w:t>
      </w:r>
    </w:p>
    <w:p>
      <w:r>
        <w:rPr>
          <w:b/>
        </w:rPr>
        <w:t xml:space="preserve">6. </w:t>
      </w:r>
      <w:r>
        <w:t>часть 28 статьи 28 дополнить словами ", за исключением случаев, предусмотренных настоящим Федеральным законом"</w:t>
      </w:r>
    </w:p>
    <w:p>
      <w:r>
        <w:rPr>
          <w:b/>
        </w:rPr>
        <w:t xml:space="preserve">6. </w:t>
      </w:r>
      <w:r>
        <w:t>пункт 17 статьи 32 признать утратившим силу</w:t>
      </w:r>
    </w:p>
    <w:p>
      <w:r>
        <w:rPr>
          <w:b/>
        </w:rPr>
        <w:t xml:space="preserve">6. </w:t>
      </w:r>
      <w:r>
        <w:t>дополнить статьей 371 следующего содержания: "Статья 371. Реестр недобросовестных лиц, заключивших охотхозяйственные соглашения, и участников аукциона на право заключения охотхозяйственного соглашения 1. Ведение реестра недобросовестных лиц, заключивших охотхозяйственные соглашения, и участников аукциона на право заключения охотхозяйственного соглашения (далее также - реестр) осуществляется уполномоченным федеральным органом исполнительной власти (далее - орган, уполномоченный на ведение реестра) в электронном виде по форме, обеспечивающей учет информации, указанной в части 3 настоящей статьи</w:t>
      </w:r>
    </w:p>
    <w:p>
      <w:r>
        <w:rPr>
          <w:b/>
        </w:rPr>
        <w:t xml:space="preserve">3. </w:t>
      </w:r>
      <w:r>
        <w:t>наименование, место нахождения, идентификационный номер налогоплательщика - для юридического лица; фамилия, имя, отчество (при наличии), идентификационный номер налогоплательщика - для индивидуального предпринимателя</w:t>
      </w:r>
    </w:p>
    <w:p>
      <w:r>
        <w:rPr>
          <w:b/>
        </w:rPr>
        <w:t xml:space="preserve">3. </w:t>
      </w:r>
      <w:r>
        <w:t>дата и номер охотхозяйственного соглашения, орган исполнительной власти субъекта Российской Федерации, являющийся стороной охотхозяйственного соглашения, а также реквизиты решения суда о прекращении такого охотхозяйственного соглашения (в случае, если охотхозяйственное соглашение прекращено по решению суда)</w:t>
      </w:r>
    </w:p>
    <w:p>
      <w:r>
        <w:rPr>
          <w:b/>
        </w:rPr>
        <w:t xml:space="preserve">3. </w:t>
      </w:r>
      <w:r>
        <w:t>дата проведения аукциона на право заключения охотхозяйственного соглашения в случае, если победитель аукциона уклонился от заключения охотхозяйственного соглашения, дата признания аукциона несостоявшимся в случае, если единственный участник аукциона уклонился от заключения охотхозяйственного соглашения</w:t>
      </w:r>
    </w:p>
    <w:p>
      <w:r>
        <w:rPr>
          <w:b/>
        </w:rPr>
        <w:t xml:space="preserve">3. </w:t>
      </w:r>
      <w:r>
        <w:t>дата внесения указанной информации в реестр</w:t>
      </w:r>
    </w:p>
    <w:p>
      <w:r>
        <w:rPr>
          <w:b/>
        </w:rPr>
        <w:t xml:space="preserve">4. </w:t>
      </w:r>
      <w:r>
        <w:t>органом исполнительной власти субъекта Российской Федерации, являющимся стороной охотхозяйственного соглашения, в течение трех рабочих дней со дня вступления в законную силу решения суда о прекращении охотхозяйственного соглашения</w:t>
      </w:r>
    </w:p>
    <w:p>
      <w:r>
        <w:rPr>
          <w:b/>
        </w:rPr>
        <w:t xml:space="preserve">4. </w:t>
      </w:r>
      <w:r>
        <w:t>органом исполнительной власти субъекта Российской Федерации, принявшим решение о проведении аукциона, в течение трех рабочих дней:</w:t>
      </w:r>
    </w:p>
    <w:p>
      <w:r>
        <w:rPr>
          <w:b/>
        </w:rPr>
        <w:t xml:space="preserve">4. </w:t>
      </w:r>
      <w:r>
        <w:t>со дня непредставления победителем аукциона подписанного охотхозяйственного соглашения в срок, установленный в извещении о проведении аукциона, - в отношении победителя аукциона, уклонившегося от заключения охотхозяйственного соглашения</w:t>
      </w:r>
    </w:p>
    <w:p>
      <w:r>
        <w:rPr>
          <w:b/>
        </w:rPr>
        <w:t xml:space="preserve">4. </w:t>
      </w:r>
      <w:r>
        <w:t>по истечении срока, указанного в части 31 статьи 28 настоящего Федерального закона, - в отношении единственного участника аукциона, уклонившегося от заключения охотхозяйственного соглашения</w:t>
      </w:r>
    </w:p>
    <w:p>
      <w:r>
        <w:rPr>
          <w:b/>
        </w:rPr>
        <w:t xml:space="preserve">8. </w:t>
      </w:r>
      <w:r>
        <w:t>в статье 38:</w:t>
      </w:r>
    </w:p>
    <w:p>
      <w:r>
        <w:rPr>
          <w:b/>
        </w:rPr>
        <w:t xml:space="preserve">8. </w:t>
      </w:r>
      <w:r>
        <w:t>в статье 39:</w:t>
      </w:r>
    </w:p>
    <w:p>
      <w:r>
        <w:rPr>
          <w:b/>
        </w:rPr>
        <w:t xml:space="preserve">8. </w:t>
      </w:r>
      <w:r>
        <w:t>часть 2 изложить в следующей редакции: "2. К нормативам в области охоты и сохранения охотничьих ресурсов относятся нормативы допустимого изъятия охотничьих ресурсов, нормативы биотехнических мероприятий, а также требования к размещению минимального количества отдельных видов охотничьих ресурсов в границах охотничьих угодий."</w:t>
      </w:r>
    </w:p>
    <w:p>
      <w:r>
        <w:rPr>
          <w:b/>
        </w:rPr>
        <w:t xml:space="preserve">8. </w:t>
      </w:r>
      <w:r>
        <w:t>часть 4 изложить в следующей редакции: "4. Нормативы допустимого изъятия охотничьих ресурсов и нормативы биотехнических мероприятий разрабатываются и утверждаются уполномоченным федеральным органом исполнительной власти. Перечень отдельных видов охотничьих ресурсов, в отношении которых устанавливаются требования к размещению минимального количества охотничьих ресурсов в границах охотничьих угодий, а также порядок расчета их минимального количества в границах охотничьих угодий в зависимости от географических и биологических факторов утверждается уполномоченным федеральным органом исполнительной власти."</w:t>
      </w:r>
    </w:p>
    <w:p>
      <w:r>
        <w:rPr>
          <w:b/>
        </w:rPr>
        <w:t xml:space="preserve">8. </w:t>
      </w:r>
      <w:r>
        <w:t>в наименовании слова "и внутрихозяйственное охотустройство" исключить</w:t>
      </w:r>
    </w:p>
    <w:p>
      <w:r>
        <w:rPr>
          <w:b/>
        </w:rPr>
        <w:t xml:space="preserve">8. </w:t>
      </w:r>
      <w:r>
        <w:t>в части 1 слова "и внутрихозяйственное охотустройство" исключить</w:t>
      </w:r>
    </w:p>
    <w:p>
      <w:r>
        <w:rPr>
          <w:b/>
        </w:rPr>
        <w:t xml:space="preserve">8. </w:t>
      </w:r>
      <w:r>
        <w:t>дополнить частью 21 следующего содержания: "21. В целях организации рационального использования и сохранения охотничьих ресурсов и осуществления видов деятельности в сфере охотничьего хозяйства уполномоченным федеральным органом исполнительной власти могут устанавливаться требования к минимальной площади охотничьих угодий, в отношении которых могут быть заключены охотхозяйственные соглашения, с учетом географических, биологических и экономических факторов."</w:t>
      </w:r>
    </w:p>
    <w:p>
      <w:r>
        <w:rPr>
          <w:b/>
        </w:rPr>
        <w:t xml:space="preserve">8. </w:t>
      </w:r>
      <w:r>
        <w:t>части 10 - 14 признать утратившими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Установленные уполномоченным федеральным органом исполнительной власти требования к минимальной площади охотничьих угодий, в отношении которых могут быть заключены охотхозяйственные соглашения, применяются к охотхозяйственным соглашениям, заключенным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(в редакции настоящего Федерального закона) распространяется на охотхозяйственные соглашения, заключенные до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Условия охотхозяйственных соглашений, заключенных до дня вступления в силу настоящего Федерального закона, должны быть приведены в соответствие со статьей 27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(в редакции настоящего Федерального закона) до 1 июля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