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Статья 1 "Статья 6.34. Производство или продажа лекарственных препаратов для медицинского применения без нанесения средств идентификации либо с нарушением установленного порядка их нанесения либо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 "Статья 15.12. Производство, ввод в оборот или продажа товаров и продукции, в отношении которых установлены требования по маркировке и (или) нанесению информации, без соответствующей маркировки и (или) информации, а также с нарушением установленного порядка нанесения такой маркировки и (или) информации"; "Статья 15.121. Непредставление сведений и (или) нарушение порядка и сроков представления сведений либо представление неполных и (или) недостоверных сведений оператору государственной информационной системы мониторинга за оборотом товаров, подлежащих обязательной маркировке средствами идентификации "Статья 23.93. Федеральные органы исполнительной власти, осуществляющие функции по контролю (надзору) в сфере обращения товаров, подлежащих маркировке средствами идентификации, с использованием государственной информационной системы мониторинга за оборотом товаров, подлежащих обязательной маркировке средствами идентификации Статья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