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11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45, ст. 6152; 2016, № 50, ст. 6977) изменения, дополнив ее частями 21 - 24 следующего содержания: "21. В случае гибели (смерти) сотрудника вследствие увечья или иного повреждения здоровья, полученных в связи с выполнением служебных обязанностей, либо смерти гражданина Российской Федерации, уволенного со службы в учреждениях и органах, наступившей вследствие увечья или иного повреждения здоровья, полученных в связи с выполнением служебных обязанностей, лицам, указанным в части 22 настоящей статьи, ежемесячно выплачивается денежная компенсация в виде разницы между приходившейся на их долю частью денежного довольствия, получаемого погибшим (умершим) сотрудником по состоянию на день его гибели (смерти) или получаемого умершим гражданином Российской Федерации, уволенным со службы в учреждениях и органах, по состоянию на день его увольнения, и назначенной им пенсией по случаю потери кормильца в соответствии со статьями 36 и 37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семей". Для определения указанной части денежного довольствия денежное довольствие погибшего (умершего) сотрудника или умершего гражданина Российской Федерации, уволенного со службы в учреждениях и органах, делится на количество лиц, имеющих право на получение указанной ежемесячной денежной компенсации, а также на погибшего (умершего) сотрудника или умершего гражданина Российской Федерации, уволенного со службы в учреждениях и органах.</w:t>
      </w:r>
    </w:p>
    <w:p>
      <w:r>
        <w:rPr>
          <w:b/>
        </w:rPr>
        <w:t xml:space="preserve">22. </w:t>
      </w:r>
      <w:r>
        <w:t>К лицам, имеющим право на получение компенсации, установленной частью 21 настоящей статьи, относятся</w:t>
      </w:r>
    </w:p>
    <w:p>
      <w:r>
        <w:rPr>
          <w:b/>
        </w:rPr>
        <w:t xml:space="preserve">23. </w:t>
      </w:r>
      <w:r>
        <w:t>Условия и порядок осуществления выплаты компенсации, установленной частью 21 настоящей статьи, а также правила исчисления денежного довольствия сотрудника, погибшего (умершего) до 1 января 2013 года, или умершего гражданина Российской Федерации, уволенного со службы в учреждениях и органах до 1 января 2013 года, определяются Правительством Российской Федерации</w:t>
      </w:r>
    </w:p>
    <w:p>
      <w:r>
        <w:rPr>
          <w:b/>
        </w:rPr>
        <w:t xml:space="preserve">24. </w:t>
      </w:r>
      <w:r>
        <w:t>Определенный в порядке, предусмотренном частью 21 настоящей статьи, размер выплачиваемой денежной компенсации увеличивается (индексируется) одновременно с увеличением (индексацией) окладов денежного содержания. Решение об увеличении (индексации) размера ежемесячной денежной компенсации принимается Правительством Российской Федерации."</w:t>
      </w:r>
    </w:p>
    <w:p>
      <w:r>
        <w:rPr>
          <w:b/>
        </w:rPr>
        <w:t xml:space="preserve">22. </w:t>
      </w:r>
      <w:r>
        <w:t>супруга (супруг), состоящая (состоящий) на день гибели (смерти) сотрудника или смерти гражданина Российской Федерации, уволенного со службы в учреждениях и органах, в браке с ним. При этом право на компенсацию, установленную частью 21 настоящей статьи, имеет супруга (супруг), не вступившая (не вступивший) в повторный брак, достигшая возраста 50 лет (достигший возраста 55 лет) или являющаяся (являющийся) инвалидом</w:t>
      </w:r>
    </w:p>
    <w:p>
      <w:r>
        <w:rPr>
          <w:b/>
        </w:rPr>
        <w:t xml:space="preserve">22. </w:t>
      </w:r>
      <w:r>
        <w:t>родители сотрудника или гражданина Российской Федерации, уволенного со службы в учреждениях и органах. При этом право на компенсацию, установленную частью 21 настоящей статьи, имеют родители, достигшие возраста 50 и 55 лет (соответственно женщина и мужчина) или являющиеся инвалидами</w:t>
      </w:r>
    </w:p>
    <w:p>
      <w:r>
        <w:rPr>
          <w:b/>
        </w:rPr>
        <w:t xml:space="preserve">22. </w:t>
      </w:r>
      <w:r>
        <w:t>дети, не достигшие возраста 18 лет или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</w:t>
      </w:r>
    </w:p>
    <w:p>
      <w:r>
        <w:rPr>
          <w:b/>
        </w:rPr>
        <w:t xml:space="preserve">22. </w:t>
      </w:r>
      <w:r>
        <w:t>лица, находившиеся на иждивении погибшего (умершего) сотрудника или умершего гражданина Российской Федерации, уволенного со службы в учреждениях и органах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