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54 Семейного кодекса Российской Федерации и статьи 36 и 67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Абзац второй пункта 2 статьи 54 Семейного кодекса Российской Федерации (Собрание законодательства Российской Федерации, 1996, № 1, ст. 16; 2019, № 49, ст. 6970) изложить в следующей редакции: "Ребенок имеет право преимущественного приема на обучение по основным общеобразовательным программам дошкольного образования и начального общего образования в государственную или муниципальную образовательную организацию, в которой обучаются его полнородные и неполнородные брат и (или) сестра.".</w:t>
      </w:r>
    </w:p>
    <w:p>
      <w:r>
        <w:rPr>
          <w:b/>
        </w:rPr>
        <w:t>Статья 2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2014, № 23, ст. 2930; 2016, № 27, ст. 4160, 4245, 4292; 2018, № 1, ст. 57; 2019, № 30, ст. 4134; № 49, ст. 6970; № 52, ст. 7833; 2020, № 12, ст. 1645; 2021, № 18, ст. 3071) следующие изменения</w:t>
      </w:r>
    </w:p>
    <w:p>
      <w:r>
        <w:t>статью 36 дополнить частью 18 следующего содержания: "18. Размер, условия и порядок денежных выплат обучающимся общеобразовательных организаций со специальными наименованиями "президентское кадетское училище", "суворовское военное училище", "нахимовское военно-морское училище", "кадетский (морской кадетский) военный корпус", "кадетский (морской кадетский) корпус", "казачий кадетский корпус" и профессиональных образовательных организаций со специальным наименованием "военно-музыкальное училище", находящихся в ведении соответствующих федеральных государственных органов, указанных в части 1 статьи 81 настоящего Федерального закона, определяются Правительством Российской Федерации."</w:t>
      </w:r>
    </w:p>
    <w:p>
      <w:r>
        <w:t>часть 31 статьи 67 изложить в следующей редакции: "31. Ребенок имеет право преимущественного приема на обучение по основным общеобразовательным программам дошкольного образования и начального общего образования в государственную или муниципальную образовательную организацию, в которой обучаются его полнородные и неполнородные брат и (или) сестра."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