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пункт 7 части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2021, № 18, ст. 3072; Российская газета, 2021, 31 мая) изменение, дополнив его словами ", за исключением беспилотных авиационных систем и (или) их элементов, включающих беспилотные гражданские воздушные суда с максимальной взлетной массой 30 килограммов и менее".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Лицензии на осуществление деятельности по разработке, производству, испытанию и ремонту авиационной техники, выданные до дня вступления в силу настоящего Федерального закона, переоформлению не подлежат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