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теплоснабжении"</w:t>
      </w:r>
    </w:p>
    <w:p>
      <w:r>
        <w:rPr>
          <w:b/>
        </w:rPr>
        <w:t>Статья 1</w:t>
      </w:r>
    </w:p>
    <w:p>
      <w:r>
        <w:t>Внести в Федеральный закон от 27 июля 2010 года № 190-ФЗ "О теплоснабжении" (Собрание законодательства Российской Федерации, 2010, № 31, ст. 4159; 2011, № 23, ст. 3263; № 50, ст. 7359; 2012, № 53, ст. 7616, 7643; 2013, № 19, ст. 2330; 2014, № 42, ст. 5615; № 49, ст. 6913; 2015, № 48, ст. 6723; 2017, № 31, ст. 4828; 2018, № 30, ст. 4555; 2020, № 14, ст. 2014; № 46, ст. 7205; 2021, № 24, ст. 4188) следующие изменения</w:t>
      </w:r>
    </w:p>
    <w:p>
      <w:r>
        <w:t>часть 1 статьи 4 дополнить пунктом 155 следующего содержания: "155) утверждение порядка определения экономической эффективности перевода открытых систем теплоснабжения (горячего водоснабжения), отдельных участков таких систем на закрытые системы горячего водоснабжения;"</w:t>
      </w:r>
    </w:p>
    <w:p>
      <w:r>
        <w:t>часть 3 статьи 23 дополнить пунктом 71 следующего содержания: "71) обязательную оценку экономической эффективности мероприятий по переводу открытых систем теплоснабжения (горячего водоснабжения), отдельных участков таких систем на закрытые системы горячего водоснабжения в порядке, установленном Правительством Российской Федерации. Без проведения такой оценки схема теплоснабжения не может быть утверждена (актуализирована);"</w:t>
      </w:r>
    </w:p>
    <w:p>
      <w:r>
        <w:t>часть 9 статьи 29 признать утратившей силу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