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3 части 3 статьи 311 Арбитражного процессуального кодекса Российской Федерации (Собрание законодательства Российской Федерации, 2002, № 30, ст. 3012; 2010, № 52, ст. 6994; 2014, № 26, ст. 3392; 2018, № 32, ст. 5133) изложить в следующей редакции: "3)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арбитражным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№ 1-ФКЗ "О Конституционном Суде Российской Федерации", в связи с обращением иного лица независимо от обращения заявителя в Конституционный Суд Российской Федерации;".</w:t>
      </w:r>
    </w:p>
    <w:p>
      <w:r>
        <w:rPr>
          <w:b/>
        </w:rPr>
        <w:t>Статья 2</w:t>
      </w:r>
    </w:p>
    <w:p>
      <w:r>
        <w:t>Пункт 3 части четвертой статьи 392 Гражданского процессуального кодекса Российской Федерации (Собрание законодательства Российской Федерации, 2002, № 46, ст. 4532; 2010, № 50, ст. 6611; 2018, № 32, ст. 5133; 2019, № 49, ст. 6965) изложить в следующей редакции: "3)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№ 1-ФКЗ "О Конституционном Суде Российской Федерации", в связи с обращением иного лица независимо от обращения заявителя в Конституционный Суд Российской Федерации;".</w:t>
      </w:r>
    </w:p>
    <w:p>
      <w:r>
        <w:rPr>
          <w:b/>
        </w:rPr>
        <w:t>Статья 3</w:t>
      </w:r>
    </w:p>
    <w:p>
      <w:r>
        <w:t>Пункт 3 части 1 статьи 350 Кодекса административного судопроизводства Российской Федерации (Собрание законодательства Российской Федерации, 2015, № 10, ст. 1391) изложить в следующей редакции: "3)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№ 1-ФКЗ "О Конституционном Суде Российской Федерации", в связи с обращением иного лица независимо от обращения заявителя в Конституционный Суд Российской Федерации;".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